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A44D5" w:rsidRDefault="00490ACC" w:rsidP="00BE3CFF">
      <w:pPr>
        <w:ind w:firstLine="709"/>
        <w:jc w:val="both"/>
        <w:rPr>
          <w:spacing w:val="0"/>
          <w:lang w:val="en-US"/>
        </w:rPr>
      </w:pPr>
    </w:p>
    <w:p w:rsidR="00490ACC" w:rsidRPr="00EA44D5" w:rsidRDefault="00490ACC" w:rsidP="00BE3CFF">
      <w:pPr>
        <w:ind w:firstLine="709"/>
        <w:jc w:val="both"/>
        <w:rPr>
          <w:spacing w:val="0"/>
        </w:rPr>
      </w:pPr>
    </w:p>
    <w:p w:rsidR="00490ACC" w:rsidRPr="00EA44D5" w:rsidRDefault="00490ACC" w:rsidP="00BE3CFF">
      <w:pPr>
        <w:ind w:firstLine="709"/>
        <w:jc w:val="both"/>
        <w:rPr>
          <w:spacing w:val="0"/>
        </w:rPr>
      </w:pPr>
    </w:p>
    <w:p w:rsidR="00490ACC" w:rsidRPr="00EA44D5" w:rsidRDefault="00490ACC" w:rsidP="00BE3CFF">
      <w:pPr>
        <w:ind w:firstLine="709"/>
        <w:jc w:val="both"/>
        <w:rPr>
          <w:spacing w:val="0"/>
        </w:rPr>
      </w:pPr>
    </w:p>
    <w:p w:rsidR="003B0F28" w:rsidRPr="00EA44D5" w:rsidRDefault="003B0F28" w:rsidP="00BE3CFF">
      <w:pPr>
        <w:ind w:firstLine="709"/>
        <w:jc w:val="center"/>
        <w:rPr>
          <w:b/>
          <w:spacing w:val="0"/>
        </w:rPr>
      </w:pPr>
    </w:p>
    <w:p w:rsidR="00490ACC" w:rsidRPr="00EA44D5" w:rsidRDefault="006404A3" w:rsidP="00BE3CFF">
      <w:pPr>
        <w:jc w:val="center"/>
        <w:rPr>
          <w:b/>
          <w:spacing w:val="0"/>
        </w:rPr>
      </w:pPr>
      <w:r w:rsidRPr="00EA44D5">
        <w:rPr>
          <w:b/>
          <w:spacing w:val="0"/>
        </w:rPr>
        <w:t>З</w:t>
      </w:r>
      <w:r w:rsidR="00490ACC" w:rsidRPr="00EA44D5">
        <w:rPr>
          <w:b/>
          <w:spacing w:val="0"/>
        </w:rPr>
        <w:t>акон</w:t>
      </w:r>
    </w:p>
    <w:p w:rsidR="00490ACC" w:rsidRPr="00EA44D5" w:rsidRDefault="00490ACC" w:rsidP="00BE3CFF">
      <w:pPr>
        <w:jc w:val="center"/>
        <w:outlineLvl w:val="0"/>
        <w:rPr>
          <w:b/>
          <w:caps/>
          <w:spacing w:val="0"/>
        </w:rPr>
      </w:pPr>
      <w:r w:rsidRPr="00EA44D5">
        <w:rPr>
          <w:b/>
          <w:spacing w:val="0"/>
        </w:rPr>
        <w:t xml:space="preserve">Приднестровской Молдавской Республики </w:t>
      </w:r>
    </w:p>
    <w:p w:rsidR="00490ACC" w:rsidRPr="00EA44D5" w:rsidRDefault="00490ACC" w:rsidP="00BE3CFF">
      <w:pPr>
        <w:pStyle w:val="41"/>
        <w:shd w:val="clear" w:color="auto" w:fill="auto"/>
        <w:spacing w:before="0" w:after="0" w:line="240" w:lineRule="auto"/>
        <w:jc w:val="center"/>
        <w:rPr>
          <w:spacing w:val="0"/>
          <w:sz w:val="28"/>
          <w:szCs w:val="28"/>
        </w:rPr>
      </w:pPr>
    </w:p>
    <w:p w:rsidR="00001370" w:rsidRPr="00EA44D5" w:rsidRDefault="00001370" w:rsidP="00BE3CFF">
      <w:pPr>
        <w:jc w:val="center"/>
        <w:rPr>
          <w:b/>
          <w:bCs/>
          <w:iCs/>
          <w:spacing w:val="0"/>
        </w:rPr>
      </w:pPr>
      <w:r w:rsidRPr="00EA44D5">
        <w:rPr>
          <w:b/>
          <w:bCs/>
          <w:iCs/>
          <w:spacing w:val="0"/>
        </w:rPr>
        <w:t xml:space="preserve">«О внесении дополнения в Закон </w:t>
      </w:r>
    </w:p>
    <w:p w:rsidR="00001370" w:rsidRPr="00EA44D5" w:rsidRDefault="00001370" w:rsidP="00BE3CFF">
      <w:pPr>
        <w:jc w:val="center"/>
        <w:rPr>
          <w:b/>
          <w:bCs/>
          <w:iCs/>
          <w:spacing w:val="0"/>
        </w:rPr>
      </w:pPr>
      <w:r w:rsidRPr="00EA44D5">
        <w:rPr>
          <w:b/>
          <w:bCs/>
          <w:iCs/>
          <w:spacing w:val="0"/>
        </w:rPr>
        <w:t xml:space="preserve">Приднестровской Молдавской Республики </w:t>
      </w:r>
    </w:p>
    <w:p w:rsidR="00001370" w:rsidRPr="00EA44D5" w:rsidRDefault="00001370" w:rsidP="00BE3CFF">
      <w:pPr>
        <w:jc w:val="center"/>
        <w:rPr>
          <w:b/>
          <w:bCs/>
          <w:iCs/>
          <w:spacing w:val="0"/>
        </w:rPr>
      </w:pPr>
      <w:r w:rsidRPr="00EA44D5">
        <w:rPr>
          <w:b/>
          <w:bCs/>
          <w:iCs/>
          <w:spacing w:val="0"/>
        </w:rPr>
        <w:t>«О порядке проведения проверок при осуществлении</w:t>
      </w:r>
    </w:p>
    <w:p w:rsidR="008D1DEF" w:rsidRPr="00EA44D5" w:rsidRDefault="00001370" w:rsidP="00BE3CFF">
      <w:pPr>
        <w:jc w:val="center"/>
        <w:rPr>
          <w:b/>
          <w:spacing w:val="0"/>
        </w:rPr>
      </w:pPr>
      <w:r w:rsidRPr="00EA44D5">
        <w:rPr>
          <w:b/>
          <w:bCs/>
          <w:iCs/>
          <w:spacing w:val="0"/>
        </w:rPr>
        <w:t>государственного контроля (надзора)»</w:t>
      </w:r>
    </w:p>
    <w:p w:rsidR="00BD0DB1" w:rsidRPr="00EA44D5" w:rsidRDefault="00BD0DB1" w:rsidP="00BE3CFF">
      <w:pPr>
        <w:ind w:firstLine="709"/>
        <w:jc w:val="center"/>
        <w:rPr>
          <w:spacing w:val="0"/>
        </w:rPr>
      </w:pPr>
    </w:p>
    <w:p w:rsidR="00490ACC" w:rsidRPr="00EA44D5" w:rsidRDefault="00490ACC" w:rsidP="00BE3CFF">
      <w:pPr>
        <w:jc w:val="both"/>
        <w:rPr>
          <w:spacing w:val="0"/>
        </w:rPr>
      </w:pPr>
      <w:r w:rsidRPr="00EA44D5">
        <w:rPr>
          <w:spacing w:val="0"/>
        </w:rPr>
        <w:t>Принят Верховным Советом</w:t>
      </w:r>
    </w:p>
    <w:p w:rsidR="00490ACC" w:rsidRPr="00EA44D5" w:rsidRDefault="00490ACC" w:rsidP="00BE3CFF">
      <w:pPr>
        <w:jc w:val="both"/>
        <w:rPr>
          <w:spacing w:val="0"/>
        </w:rPr>
      </w:pPr>
      <w:r w:rsidRPr="00EA44D5">
        <w:rPr>
          <w:spacing w:val="0"/>
        </w:rPr>
        <w:t xml:space="preserve">Приднестровской Молдавской Республики         </w:t>
      </w:r>
      <w:r w:rsidR="005A34F8" w:rsidRPr="00EA44D5">
        <w:rPr>
          <w:spacing w:val="0"/>
        </w:rPr>
        <w:t xml:space="preserve"> </w:t>
      </w:r>
      <w:r w:rsidR="00EF66F8" w:rsidRPr="00EA44D5">
        <w:rPr>
          <w:spacing w:val="0"/>
        </w:rPr>
        <w:t xml:space="preserve">  </w:t>
      </w:r>
      <w:r w:rsidR="00160CB7" w:rsidRPr="00EA44D5">
        <w:rPr>
          <w:spacing w:val="0"/>
        </w:rPr>
        <w:t xml:space="preserve"> </w:t>
      </w:r>
      <w:r w:rsidR="004D0024" w:rsidRPr="00EA44D5">
        <w:rPr>
          <w:spacing w:val="0"/>
        </w:rPr>
        <w:t xml:space="preserve"> </w:t>
      </w:r>
      <w:r w:rsidR="00EB39D6" w:rsidRPr="00EA44D5">
        <w:rPr>
          <w:spacing w:val="0"/>
        </w:rPr>
        <w:t xml:space="preserve"> </w:t>
      </w:r>
      <w:r w:rsidR="001B7E0C" w:rsidRPr="00EA44D5">
        <w:rPr>
          <w:spacing w:val="0"/>
        </w:rPr>
        <w:t xml:space="preserve"> </w:t>
      </w:r>
      <w:r w:rsidR="006B67E3" w:rsidRPr="00EA44D5">
        <w:rPr>
          <w:spacing w:val="0"/>
        </w:rPr>
        <w:t xml:space="preserve"> </w:t>
      </w:r>
      <w:r w:rsidR="00685667" w:rsidRPr="00EA44D5">
        <w:rPr>
          <w:spacing w:val="0"/>
        </w:rPr>
        <w:t xml:space="preserve"> </w:t>
      </w:r>
      <w:r w:rsidR="00622AA3" w:rsidRPr="00EA44D5">
        <w:rPr>
          <w:spacing w:val="0"/>
        </w:rPr>
        <w:t xml:space="preserve"> </w:t>
      </w:r>
      <w:r w:rsidR="006F2CE3" w:rsidRPr="00EA44D5">
        <w:rPr>
          <w:spacing w:val="0"/>
        </w:rPr>
        <w:t xml:space="preserve"> </w:t>
      </w:r>
      <w:r w:rsidR="00E22981" w:rsidRPr="00EA44D5">
        <w:rPr>
          <w:spacing w:val="0"/>
        </w:rPr>
        <w:t xml:space="preserve"> </w:t>
      </w:r>
      <w:r w:rsidR="00C14FD3" w:rsidRPr="00EA44D5">
        <w:rPr>
          <w:spacing w:val="0"/>
        </w:rPr>
        <w:t xml:space="preserve"> </w:t>
      </w:r>
      <w:r w:rsidR="007401BA" w:rsidRPr="00EA44D5">
        <w:rPr>
          <w:spacing w:val="0"/>
        </w:rPr>
        <w:t xml:space="preserve">    </w:t>
      </w:r>
      <w:r w:rsidR="00001370" w:rsidRPr="00EA44D5">
        <w:rPr>
          <w:spacing w:val="0"/>
        </w:rPr>
        <w:t>10</w:t>
      </w:r>
      <w:r w:rsidRPr="00EA44D5">
        <w:rPr>
          <w:spacing w:val="0"/>
        </w:rPr>
        <w:t xml:space="preserve"> </w:t>
      </w:r>
      <w:r w:rsidR="00AD0B4A" w:rsidRPr="00EA44D5">
        <w:rPr>
          <w:spacing w:val="0"/>
        </w:rPr>
        <w:t>феврал</w:t>
      </w:r>
      <w:r w:rsidR="00F77639" w:rsidRPr="00EA44D5">
        <w:rPr>
          <w:spacing w:val="0"/>
        </w:rPr>
        <w:t>я</w:t>
      </w:r>
      <w:r w:rsidRPr="00EA44D5">
        <w:rPr>
          <w:spacing w:val="0"/>
        </w:rPr>
        <w:t xml:space="preserve"> 20</w:t>
      </w:r>
      <w:r w:rsidR="007626B4" w:rsidRPr="00EA44D5">
        <w:rPr>
          <w:spacing w:val="0"/>
        </w:rPr>
        <w:t>2</w:t>
      </w:r>
      <w:r w:rsidR="00F77639" w:rsidRPr="00EA44D5">
        <w:rPr>
          <w:spacing w:val="0"/>
        </w:rPr>
        <w:t>6</w:t>
      </w:r>
      <w:r w:rsidRPr="00EA44D5">
        <w:rPr>
          <w:spacing w:val="0"/>
        </w:rPr>
        <w:t xml:space="preserve"> года</w:t>
      </w:r>
    </w:p>
    <w:p w:rsidR="00CD3904" w:rsidRPr="00EA44D5" w:rsidRDefault="00CD3904" w:rsidP="00BE3CFF">
      <w:pPr>
        <w:jc w:val="both"/>
        <w:rPr>
          <w:spacing w:val="0"/>
        </w:rPr>
      </w:pPr>
    </w:p>
    <w:p w:rsidR="00280A7A" w:rsidRPr="00EA44D5" w:rsidRDefault="00EA44D5" w:rsidP="00EA44D5">
      <w:pPr>
        <w:tabs>
          <w:tab w:val="left" w:pos="993"/>
        </w:tabs>
        <w:ind w:firstLine="709"/>
        <w:contextualSpacing/>
        <w:jc w:val="both"/>
        <w:rPr>
          <w:rFonts w:eastAsia="Calibri"/>
          <w:spacing w:val="0"/>
        </w:rPr>
      </w:pPr>
      <w:bookmarkStart w:id="0" w:name="_Hlk184650949"/>
      <w:r w:rsidRPr="00EA44D5">
        <w:rPr>
          <w:b/>
          <w:bCs/>
          <w:spacing w:val="0"/>
        </w:rPr>
        <w:t>Статья 1.</w:t>
      </w:r>
      <w:r w:rsidRPr="00EA44D5">
        <w:rPr>
          <w:spacing w:val="0"/>
        </w:rPr>
        <w:t xml:space="preserve"> Внести в Закон Приднестровской Молдавской Республики </w:t>
      </w:r>
      <w:r w:rsidRPr="00EA44D5">
        <w:rPr>
          <w:spacing w:val="0"/>
        </w:rPr>
        <w:br/>
        <w:t xml:space="preserve">от 1 августа 2002 года № 174-З-III «О защите прав юридических лиц, физических лиц, в том числе индивидуальных предпринимателей, при проведении государственного контроля (надзора)» (САЗ 02-31) с изменениями и дополнениями, внесенными законами Приднестровской Молдавской Республики от 7 июля 2003 года № 307-ЗД-III (САЗ 03-28); от 31 марта </w:t>
      </w:r>
      <w:r>
        <w:rPr>
          <w:spacing w:val="0"/>
        </w:rPr>
        <w:br/>
      </w:r>
      <w:r w:rsidRPr="00EA44D5">
        <w:rPr>
          <w:spacing w:val="0"/>
        </w:rPr>
        <w:t xml:space="preserve">2005 года № 553-ЗИД-III (САЗ 05-14); от 3 апреля 2006 года № 18-ЗИД-IV (САЗ 06-15); от 19 июня 2006 года № 46-ЗИД-IV (САЗ 06-26); от 27 сентября 2006 года № 80-ЗИ-IV (САЗ 06-40); от 5 ноября 2008 года № 583-ЗД-IV </w:t>
      </w:r>
      <w:r>
        <w:rPr>
          <w:spacing w:val="0"/>
        </w:rPr>
        <w:br/>
      </w:r>
      <w:r w:rsidRPr="00EA44D5">
        <w:rPr>
          <w:spacing w:val="0"/>
        </w:rPr>
        <w:t xml:space="preserve">(САЗ 08-44); от 18 сентября 2009 года № 858-ЗД-IV (САЗ 09-38); от 3 июня 2010 года № 91-ЗИД-IV (САЗ 10-22); от 24 ноября 2010 года № 233-ЗД-IV </w:t>
      </w:r>
      <w:r>
        <w:rPr>
          <w:spacing w:val="0"/>
        </w:rPr>
        <w:br/>
      </w:r>
      <w:r w:rsidRPr="00EA44D5">
        <w:rPr>
          <w:spacing w:val="0"/>
        </w:rPr>
        <w:t xml:space="preserve">(САЗ 10-47); от 24 ноября 2011 года № 215-ЗИ-V (САЗ 11-47); от 24 декабря 2012 года № 247-ЗИ-V (САЗ 12-53); от 8 апреля 2013 года № 87-ЗИ-V </w:t>
      </w:r>
      <w:r>
        <w:rPr>
          <w:spacing w:val="0"/>
        </w:rPr>
        <w:br/>
      </w:r>
      <w:r w:rsidRPr="00EA44D5">
        <w:rPr>
          <w:spacing w:val="0"/>
        </w:rPr>
        <w:t xml:space="preserve">(САЗ 13-14); от 5 апреля 2016 года № 91-ЗИ-VI (САЗ 16-14); от 25 мая </w:t>
      </w:r>
      <w:r>
        <w:rPr>
          <w:spacing w:val="0"/>
        </w:rPr>
        <w:br/>
      </w:r>
      <w:r w:rsidRPr="00EA44D5">
        <w:rPr>
          <w:spacing w:val="0"/>
        </w:rPr>
        <w:t xml:space="preserve">2016 года № 141-ЗИ-VI (САЗ 16-21); от 28 декабря 2016 года № 309-ЗД-VI (САЗ 17-1); от 19 июня 2017 года № 135-ЗД-VI (САЗ 17-25); от 4 октября </w:t>
      </w:r>
      <w:r>
        <w:rPr>
          <w:spacing w:val="0"/>
        </w:rPr>
        <w:br/>
      </w:r>
      <w:r w:rsidRPr="00EA44D5">
        <w:rPr>
          <w:spacing w:val="0"/>
        </w:rPr>
        <w:t xml:space="preserve">2017 года № 255-ЗИ-VI (САЗ 17-41); от 24 ноября 2017 года № 327-ЗИ-VI </w:t>
      </w:r>
      <w:r>
        <w:rPr>
          <w:spacing w:val="0"/>
        </w:rPr>
        <w:br/>
      </w:r>
      <w:r w:rsidRPr="00EA44D5">
        <w:rPr>
          <w:spacing w:val="0"/>
        </w:rPr>
        <w:t xml:space="preserve">(САЗ 17-48); от 28 ноября 2017 года № 348-ЗИД-VI (САЗ 17-49); от 1 марта 2018 года № 51-ЗИД-VI (САЗ 18-9); от 31 мая 2018 года № 159-ЗД-VI </w:t>
      </w:r>
      <w:r>
        <w:rPr>
          <w:spacing w:val="0"/>
        </w:rPr>
        <w:br/>
      </w:r>
      <w:r w:rsidRPr="00EA44D5">
        <w:rPr>
          <w:spacing w:val="0"/>
        </w:rPr>
        <w:t xml:space="preserve">(САЗ 18-22); от 26 июля 2018 года № 240-ЗИД-VI (САЗ 18-30); от 30 сентября 2018 года № 276-ЗД-VI (САЗ 18-39,1); от 29 декабря 2018 года № 367-ЗИД-VI (САЗ 18-52,1); от 3 апреля 2019 года № 42-ЗИД-VI (САЗ 19-13); от 15 июля 2020 года № 90-ЗИД-VI (САЗ 20-29); от 23 июля 2020 года № 105-ЗИД-VI </w:t>
      </w:r>
      <w:r>
        <w:rPr>
          <w:spacing w:val="0"/>
        </w:rPr>
        <w:br/>
      </w:r>
      <w:r w:rsidRPr="00EA44D5">
        <w:rPr>
          <w:spacing w:val="0"/>
        </w:rPr>
        <w:t xml:space="preserve">(САЗ 20-30); от 19 февраля 2021 года № 13-ЗИ-VII (САЗ 21-7); от 6 мая </w:t>
      </w:r>
      <w:r>
        <w:rPr>
          <w:spacing w:val="0"/>
        </w:rPr>
        <w:br/>
      </w:r>
      <w:r w:rsidRPr="00EA44D5">
        <w:rPr>
          <w:spacing w:val="0"/>
        </w:rPr>
        <w:t xml:space="preserve">2021 года № 87-ЗД-VII (САЗ 21-18); от 8 июня 2021 года № 112-ЗИД-VII </w:t>
      </w:r>
      <w:r>
        <w:rPr>
          <w:spacing w:val="0"/>
        </w:rPr>
        <w:br/>
      </w:r>
      <w:r w:rsidRPr="00EA44D5">
        <w:rPr>
          <w:spacing w:val="0"/>
        </w:rPr>
        <w:t>(САЗ 21-23); от 23 декабря 2021 года № 347-ЗИД-</w:t>
      </w:r>
      <w:r w:rsidRPr="00EA44D5">
        <w:rPr>
          <w:spacing w:val="0"/>
          <w:lang w:val="en-US"/>
        </w:rPr>
        <w:t>VII</w:t>
      </w:r>
      <w:r w:rsidRPr="00EA44D5">
        <w:rPr>
          <w:spacing w:val="0"/>
        </w:rPr>
        <w:t xml:space="preserve"> (САЗ 21-51); от 5 апреля 2022 года № 53-ЗИД-VII (САЗ 22-13); </w:t>
      </w:r>
      <w:r w:rsidRPr="00EA44D5">
        <w:rPr>
          <w:bCs/>
          <w:spacing w:val="0"/>
        </w:rPr>
        <w:t xml:space="preserve">от 28 октября 2022 года № 312-ЗД-VII (САЗ 22-42); от 30 июня 2023 года № 182-ЗД-VII (САЗ 23-26); от 25 июля </w:t>
      </w:r>
      <w:r>
        <w:rPr>
          <w:bCs/>
          <w:spacing w:val="0"/>
        </w:rPr>
        <w:br/>
      </w:r>
      <w:r w:rsidRPr="00EA44D5">
        <w:rPr>
          <w:bCs/>
          <w:spacing w:val="0"/>
        </w:rPr>
        <w:t>2023 года № 256-ЗИД-</w:t>
      </w:r>
      <w:r w:rsidRPr="00EA44D5">
        <w:rPr>
          <w:bCs/>
          <w:spacing w:val="0"/>
          <w:lang w:val="en-US"/>
        </w:rPr>
        <w:t>VII</w:t>
      </w:r>
      <w:r w:rsidRPr="00EA44D5">
        <w:rPr>
          <w:bCs/>
          <w:spacing w:val="0"/>
        </w:rPr>
        <w:t xml:space="preserve"> (САЗ 23-30); от 9 февраля 2024 года № 18-ЗИ-</w:t>
      </w:r>
      <w:r w:rsidRPr="00EA44D5">
        <w:rPr>
          <w:bCs/>
          <w:spacing w:val="0"/>
          <w:lang w:val="en-US"/>
        </w:rPr>
        <w:t>VII</w:t>
      </w:r>
      <w:r w:rsidRPr="00EA44D5">
        <w:rPr>
          <w:bCs/>
          <w:spacing w:val="0"/>
        </w:rPr>
        <w:t xml:space="preserve"> </w:t>
      </w:r>
      <w:r w:rsidRPr="00EA44D5">
        <w:rPr>
          <w:bCs/>
          <w:spacing w:val="0"/>
        </w:rPr>
        <w:lastRenderedPageBreak/>
        <w:t>(САЗ 24-7);</w:t>
      </w:r>
      <w:r w:rsidRPr="00EA44D5">
        <w:rPr>
          <w:spacing w:val="0"/>
        </w:rPr>
        <w:t xml:space="preserve"> </w:t>
      </w:r>
      <w:bookmarkEnd w:id="0"/>
      <w:r w:rsidRPr="00EA44D5">
        <w:rPr>
          <w:spacing w:val="0"/>
        </w:rPr>
        <w:t xml:space="preserve">от </w:t>
      </w:r>
      <w:r w:rsidRPr="00EA44D5">
        <w:rPr>
          <w:color w:val="000000"/>
          <w:spacing w:val="0"/>
        </w:rPr>
        <w:t>23 декабря 2024 года № 326-ЗИД-VII (САЗ 24-52); от 21 октября 2025 года № 203-ЗД-VII (САЗ 25-42)</w:t>
      </w:r>
      <w:r w:rsidR="00280A7A" w:rsidRPr="00EA44D5">
        <w:rPr>
          <w:rFonts w:eastAsia="Calibri"/>
          <w:spacing w:val="0"/>
        </w:rPr>
        <w:t>, следующее дополнение.</w:t>
      </w:r>
    </w:p>
    <w:p w:rsidR="00EA44D5" w:rsidRPr="00EA44D5" w:rsidRDefault="00EA44D5" w:rsidP="00EA44D5">
      <w:pPr>
        <w:tabs>
          <w:tab w:val="left" w:pos="993"/>
        </w:tabs>
        <w:ind w:firstLine="709"/>
        <w:contextualSpacing/>
        <w:jc w:val="both"/>
        <w:rPr>
          <w:rFonts w:eastAsia="Calibri"/>
          <w:spacing w:val="0"/>
        </w:rPr>
      </w:pPr>
    </w:p>
    <w:p w:rsidR="00280A7A" w:rsidRPr="00EA44D5" w:rsidRDefault="00280A7A" w:rsidP="00280A7A">
      <w:pPr>
        <w:tabs>
          <w:tab w:val="left" w:pos="993"/>
        </w:tabs>
        <w:ind w:firstLine="709"/>
        <w:contextualSpacing/>
        <w:jc w:val="both"/>
        <w:rPr>
          <w:spacing w:val="0"/>
        </w:rPr>
      </w:pPr>
      <w:r w:rsidRPr="00EA44D5">
        <w:rPr>
          <w:spacing w:val="0"/>
        </w:rPr>
        <w:t>Пункт 4 статьи 8 дополнить частями второй – пятой следующего содержания:</w:t>
      </w:r>
    </w:p>
    <w:p w:rsidR="00280A7A" w:rsidRPr="00EA44D5" w:rsidRDefault="00280A7A" w:rsidP="00280A7A">
      <w:pPr>
        <w:tabs>
          <w:tab w:val="left" w:pos="993"/>
        </w:tabs>
        <w:ind w:firstLine="709"/>
        <w:contextualSpacing/>
        <w:jc w:val="both"/>
        <w:rPr>
          <w:spacing w:val="0"/>
        </w:rPr>
      </w:pPr>
      <w:r w:rsidRPr="00EA44D5">
        <w:rPr>
          <w:spacing w:val="0"/>
        </w:rPr>
        <w:t>«Налоговые органы направляют уведомления в адрес таможенных органов о проведении внеплановых мероприятий по контролю по основаниям, предусмотренным подпунктами а), б), в) и д) части первой настоящего пункта, в целях рассмотрения вопроса о проведении внеплановых мероприятий по контролю на предмет соблюдения таможенного законодательства Приднестровской Молдавской Республики.</w:t>
      </w:r>
    </w:p>
    <w:p w:rsidR="00280A7A" w:rsidRPr="00EA44D5" w:rsidRDefault="00280A7A" w:rsidP="00280A7A">
      <w:pPr>
        <w:tabs>
          <w:tab w:val="left" w:pos="993"/>
        </w:tabs>
        <w:ind w:firstLine="709"/>
        <w:contextualSpacing/>
        <w:jc w:val="both"/>
        <w:rPr>
          <w:spacing w:val="0"/>
        </w:rPr>
      </w:pPr>
      <w:r w:rsidRPr="00EA44D5">
        <w:rPr>
          <w:spacing w:val="0"/>
        </w:rPr>
        <w:t xml:space="preserve">Таможенные органы проводят внеплановые мероприятия по контролю на предмет соблюдения лицами, указанными в части первой настоящего пункта, таможенного законодательства Приднестровской Молдавской Республики в случаях, предусмотренных подпунктами а), б), в) и д) </w:t>
      </w:r>
      <w:r w:rsidR="002A3344">
        <w:rPr>
          <w:spacing w:val="0"/>
        </w:rPr>
        <w:br/>
      </w:r>
      <w:r w:rsidRPr="00EA44D5">
        <w:rPr>
          <w:spacing w:val="0"/>
        </w:rPr>
        <w:t>части первой настоящего пункта, если данные лица являются участниками внешнеэкономической деятельности, зарегистрированными в таможенных органах.</w:t>
      </w:r>
    </w:p>
    <w:p w:rsidR="00280A7A" w:rsidRPr="00EA44D5" w:rsidRDefault="00280A7A" w:rsidP="00280A7A">
      <w:pPr>
        <w:tabs>
          <w:tab w:val="left" w:pos="993"/>
        </w:tabs>
        <w:ind w:firstLine="709"/>
        <w:contextualSpacing/>
        <w:jc w:val="both"/>
        <w:rPr>
          <w:spacing w:val="0"/>
        </w:rPr>
      </w:pPr>
      <w:r w:rsidRPr="00EA44D5">
        <w:rPr>
          <w:spacing w:val="0"/>
        </w:rPr>
        <w:t xml:space="preserve">При наличии (отсутствии) оснований, указанных в части третьей настоящего пункта, таможенные органы </w:t>
      </w:r>
      <w:r w:rsidRPr="00EA44D5">
        <w:rPr>
          <w:bCs/>
          <w:spacing w:val="0"/>
        </w:rPr>
        <w:t>не позднее 1 (одного) рабочего дня, следующего за днем поступления уведомления</w:t>
      </w:r>
      <w:r w:rsidRPr="00EA44D5">
        <w:rPr>
          <w:spacing w:val="0"/>
        </w:rPr>
        <w:t>, указанного в части второй настоящего пункта, письменно извещают налоговые органы о необходимости либо об отсутствии необходимости придания внеплановому мероприятию по контролю характера совместного.</w:t>
      </w:r>
    </w:p>
    <w:p w:rsidR="00280A7A" w:rsidRPr="00EA44D5" w:rsidRDefault="00280A7A" w:rsidP="00280A7A">
      <w:pPr>
        <w:tabs>
          <w:tab w:val="left" w:pos="993"/>
        </w:tabs>
        <w:ind w:firstLine="709"/>
        <w:contextualSpacing/>
        <w:jc w:val="both"/>
        <w:rPr>
          <w:spacing w:val="0"/>
        </w:rPr>
      </w:pPr>
      <w:r w:rsidRPr="00EA44D5">
        <w:rPr>
          <w:spacing w:val="0"/>
        </w:rPr>
        <w:t>После получения извещения таможенных органов налоговые органы с учетом содержащейся в нем информации в установленном порядке направляют уведомление в орган прокуратуры о проведении внепланового контрольного мероприятия в отношении юридических лиц и индивидуальных предпринимателей».</w:t>
      </w:r>
    </w:p>
    <w:p w:rsidR="00280A7A" w:rsidRPr="00EA44D5" w:rsidRDefault="00280A7A" w:rsidP="00280A7A">
      <w:pPr>
        <w:tabs>
          <w:tab w:val="left" w:pos="993"/>
        </w:tabs>
        <w:ind w:firstLine="709"/>
        <w:contextualSpacing/>
        <w:jc w:val="both"/>
        <w:rPr>
          <w:spacing w:val="0"/>
        </w:rPr>
      </w:pPr>
    </w:p>
    <w:p w:rsidR="00280A7A" w:rsidRPr="00EA44D5" w:rsidRDefault="00280A7A" w:rsidP="00280A7A">
      <w:pPr>
        <w:ind w:firstLine="709"/>
        <w:jc w:val="both"/>
        <w:rPr>
          <w:spacing w:val="0"/>
        </w:rPr>
      </w:pPr>
      <w:r w:rsidRPr="00EA44D5">
        <w:rPr>
          <w:b/>
          <w:spacing w:val="0"/>
        </w:rPr>
        <w:t>Статья 2.</w:t>
      </w:r>
      <w:r w:rsidRPr="00EA44D5">
        <w:rPr>
          <w:spacing w:val="0"/>
        </w:rPr>
        <w:t xml:space="preserve"> Настоящий Закон вступает в силу по истечении </w:t>
      </w:r>
      <w:r w:rsidR="002A3344">
        <w:rPr>
          <w:spacing w:val="0"/>
        </w:rPr>
        <w:br/>
      </w:r>
      <w:r w:rsidRPr="00EA44D5">
        <w:rPr>
          <w:spacing w:val="0"/>
        </w:rPr>
        <w:t>60 (шестидесяти) дней после дня официального опубликования.</w:t>
      </w:r>
    </w:p>
    <w:p w:rsidR="0061003D" w:rsidRPr="00EA44D5" w:rsidRDefault="0061003D" w:rsidP="00BE3CFF">
      <w:pPr>
        <w:ind w:firstLine="709"/>
        <w:jc w:val="both"/>
        <w:rPr>
          <w:spacing w:val="0"/>
        </w:rPr>
      </w:pPr>
    </w:p>
    <w:p w:rsidR="00001370" w:rsidRPr="00EA44D5" w:rsidRDefault="00001370" w:rsidP="00BE3CFF">
      <w:pPr>
        <w:ind w:firstLine="709"/>
        <w:jc w:val="both"/>
        <w:rPr>
          <w:spacing w:val="0"/>
        </w:rPr>
      </w:pPr>
    </w:p>
    <w:p w:rsidR="003C6611" w:rsidRPr="00EA44D5" w:rsidRDefault="00490ACC" w:rsidP="00BE3CFF">
      <w:pPr>
        <w:jc w:val="both"/>
        <w:outlineLvl w:val="0"/>
        <w:rPr>
          <w:spacing w:val="0"/>
        </w:rPr>
      </w:pPr>
      <w:r w:rsidRPr="00EA44D5">
        <w:rPr>
          <w:spacing w:val="0"/>
        </w:rPr>
        <w:t xml:space="preserve">Президент </w:t>
      </w:r>
    </w:p>
    <w:p w:rsidR="00490ACC" w:rsidRPr="00EA44D5" w:rsidRDefault="00490ACC" w:rsidP="00BE3CFF">
      <w:pPr>
        <w:jc w:val="both"/>
        <w:outlineLvl w:val="0"/>
        <w:rPr>
          <w:spacing w:val="0"/>
        </w:rPr>
      </w:pPr>
      <w:r w:rsidRPr="00EA44D5">
        <w:rPr>
          <w:spacing w:val="0"/>
        </w:rPr>
        <w:t xml:space="preserve">Приднестровской </w:t>
      </w:r>
    </w:p>
    <w:p w:rsidR="00F44C76" w:rsidRDefault="00490ACC" w:rsidP="00BE3CFF">
      <w:pPr>
        <w:jc w:val="both"/>
        <w:rPr>
          <w:spacing w:val="0"/>
        </w:rPr>
      </w:pPr>
      <w:r w:rsidRPr="00EA44D5">
        <w:rPr>
          <w:spacing w:val="0"/>
        </w:rPr>
        <w:t xml:space="preserve">Молдавской Республики </w:t>
      </w:r>
      <w:r w:rsidRPr="00EA44D5">
        <w:rPr>
          <w:spacing w:val="0"/>
        </w:rPr>
        <w:tab/>
      </w:r>
      <w:r w:rsidRPr="00EA44D5">
        <w:rPr>
          <w:spacing w:val="0"/>
        </w:rPr>
        <w:tab/>
      </w:r>
      <w:r w:rsidRPr="00EA44D5">
        <w:rPr>
          <w:spacing w:val="0"/>
        </w:rPr>
        <w:tab/>
      </w:r>
      <w:r w:rsidRPr="00EA44D5">
        <w:rPr>
          <w:spacing w:val="0"/>
        </w:rPr>
        <w:tab/>
        <w:t xml:space="preserve"> </w:t>
      </w:r>
      <w:r w:rsidR="001713CD" w:rsidRPr="00EA44D5">
        <w:rPr>
          <w:spacing w:val="0"/>
        </w:rPr>
        <w:t xml:space="preserve">  </w:t>
      </w:r>
      <w:r w:rsidRPr="00EA44D5">
        <w:rPr>
          <w:spacing w:val="0"/>
        </w:rPr>
        <w:t xml:space="preserve">  В. Н. КРАСНОСЕЛЬСКИЙ</w:t>
      </w:r>
    </w:p>
    <w:p w:rsidR="006044FC" w:rsidRDefault="006044FC" w:rsidP="00BE3CFF">
      <w:pPr>
        <w:jc w:val="both"/>
        <w:rPr>
          <w:spacing w:val="0"/>
        </w:rPr>
      </w:pPr>
    </w:p>
    <w:p w:rsidR="006044FC" w:rsidRDefault="006044FC" w:rsidP="00BE3CFF">
      <w:pPr>
        <w:jc w:val="both"/>
        <w:rPr>
          <w:spacing w:val="0"/>
        </w:rPr>
      </w:pPr>
    </w:p>
    <w:p w:rsidR="006044FC" w:rsidRDefault="006044FC" w:rsidP="00BE3CFF">
      <w:pPr>
        <w:jc w:val="both"/>
        <w:rPr>
          <w:spacing w:val="0"/>
        </w:rPr>
      </w:pPr>
    </w:p>
    <w:p w:rsidR="004B2A31" w:rsidRPr="008F7915" w:rsidRDefault="004B2A31" w:rsidP="004B2A31">
      <w:pPr>
        <w:jc w:val="both"/>
        <w:rPr>
          <w:szCs w:val="26"/>
        </w:rPr>
      </w:pPr>
      <w:r w:rsidRPr="008F7915">
        <w:rPr>
          <w:szCs w:val="26"/>
        </w:rPr>
        <w:t>г. Тирасполь</w:t>
      </w:r>
    </w:p>
    <w:p w:rsidR="004B2A31" w:rsidRPr="008F7915" w:rsidRDefault="004B2A31" w:rsidP="004B2A31">
      <w:pPr>
        <w:ind w:left="28" w:hanging="28"/>
        <w:jc w:val="both"/>
        <w:rPr>
          <w:szCs w:val="26"/>
        </w:rPr>
      </w:pPr>
      <w:r>
        <w:rPr>
          <w:szCs w:val="26"/>
        </w:rPr>
        <w:t>17 февраля</w:t>
      </w:r>
      <w:r w:rsidRPr="008F7915">
        <w:rPr>
          <w:szCs w:val="26"/>
        </w:rPr>
        <w:t xml:space="preserve"> 202</w:t>
      </w:r>
      <w:r>
        <w:rPr>
          <w:szCs w:val="26"/>
        </w:rPr>
        <w:t>6</w:t>
      </w:r>
      <w:r w:rsidRPr="008F7915">
        <w:rPr>
          <w:szCs w:val="26"/>
        </w:rPr>
        <w:t xml:space="preserve"> г.</w:t>
      </w:r>
    </w:p>
    <w:p w:rsidR="004B2A31" w:rsidRPr="008F7915" w:rsidRDefault="004B2A31" w:rsidP="004B2A31">
      <w:pPr>
        <w:tabs>
          <w:tab w:val="left" w:pos="851"/>
          <w:tab w:val="left" w:pos="4536"/>
        </w:tabs>
        <w:ind w:left="28" w:hanging="28"/>
        <w:rPr>
          <w:szCs w:val="26"/>
        </w:rPr>
      </w:pPr>
      <w:r w:rsidRPr="008F7915">
        <w:rPr>
          <w:szCs w:val="26"/>
        </w:rPr>
        <w:t xml:space="preserve">№ </w:t>
      </w:r>
      <w:r>
        <w:rPr>
          <w:szCs w:val="26"/>
        </w:rPr>
        <w:t>20</w:t>
      </w:r>
      <w:r w:rsidRPr="008F7915">
        <w:rPr>
          <w:szCs w:val="26"/>
        </w:rPr>
        <w:t>-З</w:t>
      </w:r>
      <w:r>
        <w:rPr>
          <w:szCs w:val="26"/>
        </w:rPr>
        <w:t>Д</w:t>
      </w:r>
      <w:r w:rsidRPr="008F7915">
        <w:rPr>
          <w:szCs w:val="26"/>
        </w:rPr>
        <w:t>-VI</w:t>
      </w:r>
      <w:r w:rsidRPr="008F7915">
        <w:rPr>
          <w:szCs w:val="26"/>
          <w:lang w:val="en-US"/>
        </w:rPr>
        <w:t>II</w:t>
      </w:r>
    </w:p>
    <w:p w:rsidR="006044FC" w:rsidRPr="00EA44D5" w:rsidRDefault="006044FC" w:rsidP="00BE3CFF">
      <w:pPr>
        <w:jc w:val="both"/>
        <w:rPr>
          <w:spacing w:val="0"/>
        </w:rPr>
      </w:pPr>
      <w:bookmarkStart w:id="1" w:name="_GoBack"/>
      <w:bookmarkEnd w:id="1"/>
    </w:p>
    <w:sectPr w:rsidR="006044FC" w:rsidRPr="00EA44D5"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152" w:rsidRDefault="00784152">
      <w:r>
        <w:separator/>
      </w:r>
    </w:p>
  </w:endnote>
  <w:endnote w:type="continuationSeparator" w:id="0">
    <w:p w:rsidR="00784152" w:rsidRDefault="0078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152" w:rsidRDefault="00784152">
      <w:r>
        <w:separator/>
      </w:r>
    </w:p>
  </w:footnote>
  <w:footnote w:type="continuationSeparator" w:id="0">
    <w:p w:rsidR="00784152" w:rsidRDefault="00784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B2A31">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A31"/>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4FC"/>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152"/>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E191-2360-4DC1-A34B-F165BB91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637</Words>
  <Characters>3635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30</cp:revision>
  <cp:lastPrinted>2026-02-05T07:46:00Z</cp:lastPrinted>
  <dcterms:created xsi:type="dcterms:W3CDTF">2025-11-13T14:10:00Z</dcterms:created>
  <dcterms:modified xsi:type="dcterms:W3CDTF">2026-02-17T14:30:00Z</dcterms:modified>
</cp:coreProperties>
</file>