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D8A" w:rsidRPr="00280D06" w:rsidRDefault="00743FA9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050D8A" w:rsidRPr="00280D06" w:rsidRDefault="00050D8A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050D8A" w:rsidRPr="00280D06" w:rsidRDefault="00050D8A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D8A" w:rsidRP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50D8A"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дополнения </w:t>
      </w:r>
      <w:r w:rsidR="00050D8A"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Закон Приднестровской Молдавской Республики</w:t>
      </w:r>
    </w:p>
    <w:p w:rsidR="00050D8A" w:rsidRDefault="00050D8A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«Специальный налоговый режим – </w:t>
      </w:r>
      <w:r w:rsidRPr="00280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упрощенная система налогообложения»</w:t>
      </w:r>
    </w:p>
    <w:p w:rsidR="00280D06" w:rsidRDefault="00280D06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D06" w:rsidRPr="00260312" w:rsidRDefault="00280D06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280D06" w:rsidRPr="00260312" w:rsidRDefault="00280D06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24 декабря 2025 года</w:t>
      </w:r>
    </w:p>
    <w:p w:rsidR="00050D8A" w:rsidRPr="00743FA9" w:rsidRDefault="00050D8A" w:rsidP="00743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D8A" w:rsidRPr="00743FA9" w:rsidRDefault="00050D8A" w:rsidP="00743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80D0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1.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7438787"/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сентября 2018 года № 270-З-VI «Специальный налоговый режим – упрощенная система налогообложения» (САЗ 18-39,1) с изменениями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дополнениями, внесенными законами Приднестровской Молдавской Республики от 31 марта 2019 года № 41-ЗИД-VI (САЗ 19-12); от 29 мая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2019 года № 97-ЗИД-VI (САЗ 19-20); от 15 июля 2020 года № 92-ЗИД-VI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20-29); от 30 декабря 2020 года № 230-ЗД-VII (САЗ 21-1,1); от 30 декабря 2020 года № 240-ЗИД-VII (САЗ 21-1,1); от 22 июля 2021 года № 176-ЗД-VII (САЗ 21-29); от 29 сентября 2021 года № 226-ЗД-VII (САЗ 21-39,1);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29 сентября 2021 года № 229-ЗИ-VII (САЗ 21-39,1); от 2 декабря 2021 года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293-ЗИ-VII (САЗ 21-48); от 3 декабря 2021 года № 305-ЗИД-VII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21-48); от 6 декабря 2021 года № 322-ЗИД-VII (САЗ 21-49); от 18 апреля 2022 года № 61-ЗИД-VII (САЗ 22-15); от 25 июля 2022 года № 196-ЗИ-VII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22-29); от 29 сентября 2022 года № 253-ЗИД-VII (САЗ 22-38,1);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сентября 2022 года № 261-ЗИ-VII (САЗ 22-38,1); от 26 декабря 2022 года № 375-ЗИД-VII (САЗ 23-1); от 16 февраля 2023 года № 18-ЗИ-VII (САЗ 23-7,1); от 28 марта 2023 года № 52-ЗИД-VII (САЗ 23-13); от 17 июля 2023 года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235-ЗИ-VII (САЗ 23-29); от 29 сентября 2023 года № 294-ЗИ-VII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23-39,1); от 29 сентября 2023 года № 303-ЗИД-VII (САЗ 23-39,1);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2023 года № 384-ЗИД-VII (САЗ 23-51); от 22 июля 2024 года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162-ЗД-VII (САЗ 24-31); от 24 июля 2024 года № 178-ЗД-VII (САЗ 24-31); от 24 июля 2024 года № 188-ЗИ-VII (САЗ 24-31); от 2 августа 2024 года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196-ЗИД-VII (САЗ 24-32); от 16 сентября 2024 года № 217-ЗИ-VII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24-38); от 10 марта 2025 года № 23-ЗИД-VII (САЗ 25-10); от 24 марта 2025 года № 37-ЗД-VII (САЗ 25-12); от 24 апреля 2025 года № 68-ЗД-VII 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25-16); от 20 июня 2025 года № 105-ЗИД-VII (САЗ 25-24)</w:t>
      </w:r>
      <w:bookmarkEnd w:id="0"/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31 июля 2025 года № 183-ЗИД-</w:t>
      </w:r>
      <w:r w:rsidR="00280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280D06" w:rsidRP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0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 25-30),</w:t>
      </w:r>
      <w:r w:rsidRPr="00743F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</w:t>
      </w:r>
      <w:r w:rsidR="00DD266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ледующие изменения и дополнение.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Подпункт а) части первой статьи 6 изложить в следующей редакции: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«а) доходы от продаж (выручка от реализации) продукции, товаров, выполнения работ, оказания услуг; доходы (выручка) от предоставления </w:t>
      </w: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плату во временное пользование (временное владение и пользование) активов организации или индивидуального предпринимателя и от оказания дополнительных услуг, оплачиваемых арендатором.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индивидуальные предприниматели, применяющие упрощенную систему налогообложения, освобождаются от уплаты налога </w:t>
      </w: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выручки с доходов (выручки) от реализации электросетевой организации избытка электрической энергии, произведенной для собственных нужд генерирующим оборудованием (установкой) установленной генерирующей мощностью до 20 (двадцати) киловатт-часов, производящим электрическую энергию как из возобновляемых, так и </w:t>
      </w:r>
      <w:proofErr w:type="spellStart"/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невозобновляемых</w:t>
      </w:r>
      <w:proofErr w:type="spellEnd"/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источников энергии, принадлежащим организации или индивидуальному предпринимателю на праве собственности либо на другом законном основании.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вторая настоящего подпункта применяется в случае проведения перерасчета с электросетевой организацией на сумму избытка электроэнергии, отпущенного электросетевой организации при обеспечении технической возможности и учета приема-отдачи электроэнергии с учетом общего потребления по всем местам потребления лица (потребителя)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порядка перерасчета и технических требований к приборам учета, установленным исполнительным органом государственной власти, в ведении которого находятся вопросы энергетики.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организаций, действующих в интересах другого лица на основе договоров поручения, договоров комиссии либо агентских договоров, выручкой является вознаграждение, полученное ими при исполнении любого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указанных договоров.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организаций и индивидуальных предпринимателей, применяющих упрощенную систему налогообложения, заключивших соглашение с банком,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которого ими осуществляются операции по принятию от физических лиц наличных денежных средств в приднестровских рублях с целью зачисления на банковскую карту (счет) физического лица, а также по выдаче физическим лицам наличных денежных средств из касс в приднестровских рублях посредством банковской карты физического лица, объектом налогообложения по налогу с выручки не являются денежные средства, зачисляемые на их счета банком в рамках заключенного соглашения в счет наличных денежных средств, выданных физическим лицам из касс посредством банковских карт, а также денежные средства, поступающие в кассы для целей зачисления на банковскую карту (счет) физического лица».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Подпункт 2) подпункта б) части первой статьи 6 изложить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 редакции: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доходы от предоставления за плату во временное пользование (временное владение и пользование) активов организаций или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индивидуальных </w:t>
      </w: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 и от оказания дополнительных услуг, оплачиваемых арендатором.</w:t>
      </w:r>
    </w:p>
    <w:p w:rsidR="00050D8A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организаций, осуществляющих деятельность в сфере предоставления потребителям электрической энергии, природного газа, тепловой энергии, го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>рячей и холодной воды, услуг по водоснабжению и водоотведению, услуг по сбору и вывозу твердых бытовых отходов, объектом налогообложения является доход (выручка) от их реализации (оказания)»</w:t>
      </w:r>
      <w:r w:rsidR="001D3C10" w:rsidRPr="001D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3C10" w:rsidRPr="00743FA9" w:rsidRDefault="001D3C10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Подпункт б) части первой статьи 6 дополнить подпунктом 15) следующего содержания: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«15) положительная разница между суммой возмещения организации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том числе являющейся арендодателем) стоимости потребленных физическим лицом (в том числе являющимся арендатором) и (или) юридическим лицом (в том числе являющимся арендатором) электрической энергии, природного газа, тепловой энергии, горячей и холодной воды, услуг по водоотведению, сбору и вывозу твердых бытовых отходов и суммой, оплаченной (подлежащей оплате) организацией (в том числе являющейся арендодателем) поставщикам электрической энергии, природного газа, тепловой энергии, горячей и холодной воды, услуг по водоотведению, сбору и вывозу твердых бытовых отходов.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возмещения физическим лицом (в том числе являющимся арендатором) и (или) юридическим лицом (в том числе являющимся арендатором) в соответствии с условиями заключенных договоров стоимости потребленных электрической энергии, природного газа, тепловой энергии, горячей и холодной воды, услуг по водоотведению, сбору и вывозу твердых бытовых отходов объектом налогообложения является положительная разница между суммой возмещения стоимости потребленных физическим лицом (в том числе являющимся арендатором) и (или) юридическим лицом (в том числе являющимся арендатором) электрической энергии, природного газа, тепловой энергии, горячей и холодной воды, услуг по водоотведению, сбору и вывозу твердых бытовых отходов и суммой</w:t>
      </w:r>
      <w:r w:rsidR="002B5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оплаченной (подлежащей оплате) поставщикам электрической энергии, природного газа, тепловой энергии, горячей и холодной воды, услуг по водоотведению, сбору и вывозу твердых бытовых отходов.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для определения величины положительной разницы между суммой возмещения стоимости потребленных физическим лицом (в том числе являющимся арендатором) и (или) юридическим лицом (в том числе являющимся арендатором) электрической энергии, природного газа, тепловой энергии, горячей и холодной воды, услуг по водоотведению, сбору и вывозу твердых бытовых отходов и суммой</w:t>
      </w:r>
      <w:r w:rsidR="002B5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оплаченной (подлежащей оплате) организацией (в том числе являющейся арендодателем) поставщикам электрической энергии, природного газа, тепловой энергии, горячей и холодной воды, услуг по водоотведению, сбору и вывозу твердых бытовых отходов, потребленных физическим лицом (в том числе являющимся арендатором) и (или) юридическим лицом (в том числе являющимся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арендатором), полученные суммы возмещения уменьшаются на документально подтвержденные расходы по платежам за электрическую энергию, природный газ, тепловую энергию, горячую и холодную воду, услуги по водоотведению, сбор и вывоз твердых бытовых отходов, понесенные (оплаченные, подлежащие оплате) организацией (в том числе являющейся арендодателем).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для определения величины обозначенных расходов используются показания отдельных приборов учета (измерительного оборудования), определяющих объем потребленных электрической энергии, природного газа, тепловой энергии, горячей и холодной воды и водоотведения, установленных на объекте, с целью фиксации показаний объемов, потребленных физическим лицом (в том числе являющимся арендатором) и (или) юридическим лицом (в том числе являющимся арендатором) на объекте.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либо невозможности установки на объекте отдельных приборов учета (измерительного оборудования), определяющих объем потребленных электрической энергии, природного газа, тепловой энергии, горячей и холодной воды и водоотведения, организация (в том числе являющаяся арендодателем) производит расчет потребляемых физическим лицом (в том числе являющимся арендатором) и (или) юридическим лицом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том числе являющимся арендатором) электрической энергии, природного газа, тепловой энергии, горячей и холодной воды и водоотведения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договором, заключенным между ней и физическим лицом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том числе являющимся арендатором) и (или) юридическим лицом (в том числе являющимся арендатором)».</w:t>
      </w: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D8A" w:rsidRPr="00743FA9" w:rsidRDefault="00050D8A" w:rsidP="00743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0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2.</w:t>
      </w:r>
      <w:r w:rsidRPr="0074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Pr="00743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дня, следующего за днем официального опубликования.</w:t>
      </w:r>
    </w:p>
    <w:p w:rsidR="00050D8A" w:rsidRDefault="00050D8A" w:rsidP="00743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99B" w:rsidRDefault="0072099B" w:rsidP="00743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D06" w:rsidRPr="00743FA9" w:rsidRDefault="00280D06" w:rsidP="00743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D06" w:rsidRPr="00260312" w:rsidRDefault="00280D06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Президент</w:t>
      </w:r>
    </w:p>
    <w:p w:rsidR="00280D06" w:rsidRPr="00260312" w:rsidRDefault="00280D06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280D06" w:rsidRDefault="00280D06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22108">
        <w:rPr>
          <w:rFonts w:ascii="Times New Roman" w:hAnsi="Times New Roman" w:cs="Times New Roman"/>
          <w:sz w:val="28"/>
          <w:szCs w:val="28"/>
        </w:rPr>
        <w:t xml:space="preserve">  </w:t>
      </w:r>
      <w:r w:rsidRPr="00260312">
        <w:rPr>
          <w:rFonts w:ascii="Times New Roman" w:hAnsi="Times New Roman" w:cs="Times New Roman"/>
          <w:sz w:val="28"/>
          <w:szCs w:val="28"/>
        </w:rPr>
        <w:t xml:space="preserve">  В. Н. КРАСНОСЕЛЬСКИЙ</w:t>
      </w:r>
    </w:p>
    <w:p w:rsidR="003A2BCF" w:rsidRDefault="003A2BCF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CF" w:rsidRDefault="003A2BCF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CF" w:rsidRDefault="003A2BCF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54C97" w:rsidRPr="00B54C97" w:rsidRDefault="00B54C97" w:rsidP="00B5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C97">
        <w:rPr>
          <w:rFonts w:ascii="Times New Roman" w:hAnsi="Times New Roman" w:cs="Times New Roman"/>
          <w:sz w:val="28"/>
          <w:szCs w:val="28"/>
        </w:rPr>
        <w:t>г. Тирасполь</w:t>
      </w:r>
    </w:p>
    <w:p w:rsidR="00B54C97" w:rsidRPr="00B54C97" w:rsidRDefault="00B54C97" w:rsidP="00B5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C97">
        <w:rPr>
          <w:rFonts w:ascii="Times New Roman" w:hAnsi="Times New Roman" w:cs="Times New Roman"/>
          <w:sz w:val="28"/>
          <w:szCs w:val="28"/>
        </w:rPr>
        <w:t>30 декабря 2025 г.</w:t>
      </w:r>
    </w:p>
    <w:p w:rsidR="00B54C97" w:rsidRPr="00B54C97" w:rsidRDefault="00B54C97" w:rsidP="00B5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C97">
        <w:rPr>
          <w:rFonts w:ascii="Times New Roman" w:hAnsi="Times New Roman" w:cs="Times New Roman"/>
          <w:sz w:val="28"/>
          <w:szCs w:val="28"/>
        </w:rPr>
        <w:t>№ 267-ЗИД-VI</w:t>
      </w:r>
      <w:r w:rsidRPr="00B54C97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3A2BCF" w:rsidRDefault="003A2BCF" w:rsidP="00280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BCF" w:rsidSect="002B57F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AF" w:rsidRDefault="00013CAF">
      <w:pPr>
        <w:spacing w:after="0" w:line="240" w:lineRule="auto"/>
      </w:pPr>
      <w:r>
        <w:separator/>
      </w:r>
    </w:p>
  </w:endnote>
  <w:endnote w:type="continuationSeparator" w:id="0">
    <w:p w:rsidR="00013CAF" w:rsidRDefault="0001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AF" w:rsidRDefault="00013CAF">
      <w:pPr>
        <w:spacing w:after="0" w:line="240" w:lineRule="auto"/>
      </w:pPr>
      <w:r>
        <w:separator/>
      </w:r>
    </w:p>
  </w:footnote>
  <w:footnote w:type="continuationSeparator" w:id="0">
    <w:p w:rsidR="00013CAF" w:rsidRDefault="0001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C9" w:rsidRDefault="00050D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4C97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67"/>
    <w:rsid w:val="00013CAF"/>
    <w:rsid w:val="00050D8A"/>
    <w:rsid w:val="001D0A38"/>
    <w:rsid w:val="001D3C10"/>
    <w:rsid w:val="00280D06"/>
    <w:rsid w:val="002B57F2"/>
    <w:rsid w:val="003A2BCF"/>
    <w:rsid w:val="00445BD3"/>
    <w:rsid w:val="005A6F53"/>
    <w:rsid w:val="0072099B"/>
    <w:rsid w:val="00743FA9"/>
    <w:rsid w:val="00B54C97"/>
    <w:rsid w:val="00B866EC"/>
    <w:rsid w:val="00BA23EF"/>
    <w:rsid w:val="00CD4B0F"/>
    <w:rsid w:val="00DD2664"/>
    <w:rsid w:val="00E22108"/>
    <w:rsid w:val="00F336FD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8EA0B-2ABC-40D4-A8C7-44851EC3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FA9"/>
  </w:style>
  <w:style w:type="paragraph" w:styleId="a7">
    <w:name w:val="No Spacing"/>
    <w:uiPriority w:val="1"/>
    <w:qFormat/>
    <w:rsid w:val="00280D0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80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0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14</cp:revision>
  <cp:lastPrinted>2025-12-23T07:45:00Z</cp:lastPrinted>
  <dcterms:created xsi:type="dcterms:W3CDTF">2025-12-23T07:25:00Z</dcterms:created>
  <dcterms:modified xsi:type="dcterms:W3CDTF">2025-12-30T08:21:00Z</dcterms:modified>
</cp:coreProperties>
</file>