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9C" w:rsidRPr="003F4780" w:rsidRDefault="00AE249C" w:rsidP="00AE249C">
      <w:pPr>
        <w:jc w:val="center"/>
        <w:rPr>
          <w:b/>
          <w:sz w:val="28"/>
          <w:szCs w:val="28"/>
        </w:rPr>
      </w:pP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  <w:r w:rsidRPr="003F4780">
        <w:rPr>
          <w:b/>
          <w:sz w:val="28"/>
          <w:szCs w:val="28"/>
        </w:rPr>
        <w:t xml:space="preserve">Закон </w:t>
      </w: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  <w:r w:rsidRPr="003F4780">
        <w:rPr>
          <w:b/>
          <w:sz w:val="28"/>
          <w:szCs w:val="28"/>
        </w:rPr>
        <w:t>Приднестровской Молдавской Республики</w:t>
      </w:r>
    </w:p>
    <w:p w:rsidR="00AE249C" w:rsidRPr="003F4780" w:rsidRDefault="00AE249C" w:rsidP="00AE249C">
      <w:pPr>
        <w:jc w:val="center"/>
        <w:rPr>
          <w:b/>
          <w:sz w:val="28"/>
          <w:szCs w:val="28"/>
        </w:rPr>
      </w:pPr>
    </w:p>
    <w:p w:rsidR="00AE249C" w:rsidRPr="003F4780" w:rsidRDefault="00AE249C" w:rsidP="00B84322">
      <w:pPr>
        <w:jc w:val="center"/>
        <w:rPr>
          <w:b/>
          <w:sz w:val="28"/>
          <w:szCs w:val="28"/>
        </w:rPr>
      </w:pPr>
      <w:r w:rsidRPr="003F4780">
        <w:rPr>
          <w:b/>
          <w:sz w:val="28"/>
          <w:szCs w:val="28"/>
        </w:rPr>
        <w:t>«</w:t>
      </w:r>
      <w:r w:rsidR="00B84322" w:rsidRPr="003F4780">
        <w:rPr>
          <w:b/>
          <w:sz w:val="28"/>
          <w:szCs w:val="28"/>
        </w:rPr>
        <w:t xml:space="preserve">О внесении изменений и дополнений </w:t>
      </w:r>
    </w:p>
    <w:p w:rsidR="00B84322" w:rsidRPr="003F4780" w:rsidRDefault="00B84322" w:rsidP="00B84322">
      <w:pPr>
        <w:jc w:val="center"/>
        <w:rPr>
          <w:b/>
          <w:sz w:val="28"/>
          <w:szCs w:val="28"/>
        </w:rPr>
      </w:pPr>
      <w:r w:rsidRPr="003F4780">
        <w:rPr>
          <w:b/>
          <w:sz w:val="28"/>
          <w:szCs w:val="28"/>
        </w:rPr>
        <w:t xml:space="preserve">в Закон Приднестровской Молдавской Республики </w:t>
      </w:r>
      <w:r w:rsidRPr="003F4780">
        <w:rPr>
          <w:b/>
          <w:sz w:val="28"/>
          <w:szCs w:val="28"/>
        </w:rPr>
        <w:br/>
        <w:t>«О закупках в Приднестровской Молдавской Республике»</w:t>
      </w:r>
    </w:p>
    <w:p w:rsidR="00AE249C" w:rsidRPr="003F4780" w:rsidRDefault="00AE249C" w:rsidP="00AE249C">
      <w:pPr>
        <w:ind w:firstLine="709"/>
        <w:jc w:val="both"/>
        <w:rPr>
          <w:sz w:val="28"/>
          <w:szCs w:val="28"/>
        </w:rPr>
      </w:pPr>
    </w:p>
    <w:p w:rsidR="00AE249C" w:rsidRPr="003F4780" w:rsidRDefault="00AE249C" w:rsidP="00AE249C">
      <w:pPr>
        <w:jc w:val="both"/>
        <w:rPr>
          <w:sz w:val="28"/>
          <w:szCs w:val="28"/>
        </w:rPr>
      </w:pPr>
      <w:r w:rsidRPr="003F4780">
        <w:rPr>
          <w:sz w:val="28"/>
          <w:szCs w:val="28"/>
        </w:rPr>
        <w:t>Принят Верховным Советом</w:t>
      </w:r>
    </w:p>
    <w:p w:rsidR="00AE249C" w:rsidRPr="003F4780" w:rsidRDefault="00AE249C" w:rsidP="00AE249C">
      <w:pPr>
        <w:jc w:val="both"/>
        <w:rPr>
          <w:sz w:val="28"/>
          <w:szCs w:val="28"/>
        </w:rPr>
      </w:pPr>
      <w:r w:rsidRPr="003F4780">
        <w:rPr>
          <w:sz w:val="28"/>
          <w:szCs w:val="28"/>
        </w:rPr>
        <w:t>Приднестровской Молдавской Республики                          21 декабря 2022 года</w:t>
      </w:r>
    </w:p>
    <w:p w:rsidR="00AE249C" w:rsidRPr="003F4780" w:rsidRDefault="00AE249C" w:rsidP="00AE249C">
      <w:pPr>
        <w:ind w:firstLine="709"/>
        <w:jc w:val="both"/>
        <w:rPr>
          <w:sz w:val="28"/>
          <w:szCs w:val="28"/>
        </w:rPr>
      </w:pPr>
    </w:p>
    <w:p w:rsidR="00B84322" w:rsidRPr="003F4780" w:rsidRDefault="008D5B8D" w:rsidP="00B84322">
      <w:pPr>
        <w:ind w:firstLine="709"/>
        <w:jc w:val="both"/>
        <w:rPr>
          <w:sz w:val="28"/>
          <w:szCs w:val="28"/>
        </w:rPr>
      </w:pPr>
      <w:r w:rsidRPr="003F4780">
        <w:rPr>
          <w:b/>
          <w:sz w:val="28"/>
          <w:szCs w:val="28"/>
        </w:rPr>
        <w:t>Статья 1.</w:t>
      </w:r>
      <w:r w:rsidRPr="003F4780">
        <w:rPr>
          <w:sz w:val="28"/>
          <w:szCs w:val="28"/>
        </w:rPr>
        <w:t xml:space="preserve"> Внести в Закон Приднестровской Молдавской Республики </w:t>
      </w:r>
      <w:r w:rsidRPr="003F4780">
        <w:rPr>
          <w:sz w:val="28"/>
          <w:szCs w:val="28"/>
        </w:rPr>
        <w:br/>
        <w:t>от 26 ноября 2018 года № 318-З-</w:t>
      </w:r>
      <w:r w:rsidRPr="003F4780">
        <w:rPr>
          <w:sz w:val="28"/>
          <w:szCs w:val="28"/>
          <w:lang w:val="en-US"/>
        </w:rPr>
        <w:t>VI</w:t>
      </w:r>
      <w:r w:rsidRPr="003F4780">
        <w:rPr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="00ED76C8" w:rsidRPr="003F4780">
        <w:rPr>
          <w:sz w:val="28"/>
          <w:szCs w:val="28"/>
        </w:rPr>
        <w:br/>
      </w:r>
      <w:r w:rsidRPr="003F4780">
        <w:rPr>
          <w:sz w:val="28"/>
          <w:szCs w:val="28"/>
        </w:rPr>
        <w:t xml:space="preserve">от 27 декабря 2019 года № 258-ЗИД-VI (САЗ 19-50); от 7 июля 2020 года </w:t>
      </w:r>
      <w:r w:rsidR="00EE5BE9" w:rsidRPr="003F4780">
        <w:rPr>
          <w:sz w:val="28"/>
          <w:szCs w:val="28"/>
        </w:rPr>
        <w:br/>
      </w:r>
      <w:r w:rsidRPr="003F4780">
        <w:rPr>
          <w:sz w:val="28"/>
          <w:szCs w:val="28"/>
        </w:rPr>
        <w:t xml:space="preserve">№ 83-ЗИД-VI (САЗ 20-28); от 14 декабря 2020 года № 220-ЗИД-VI </w:t>
      </w:r>
      <w:r w:rsidR="00EE5BE9" w:rsidRPr="003F4780">
        <w:rPr>
          <w:sz w:val="28"/>
          <w:szCs w:val="28"/>
        </w:rPr>
        <w:br/>
      </w:r>
      <w:r w:rsidRPr="003F4780">
        <w:rPr>
          <w:sz w:val="28"/>
          <w:szCs w:val="28"/>
        </w:rPr>
        <w:t>(САЗ 20-51); от 25 февраля 2021 года № 15-ЗИД-VII (САЗ 21-8); от 22 марта 2021 года № 43-ЗИД-VII (САЗ 21-12); от 7 июля 2021 года № 150-ЗИД-VI</w:t>
      </w:r>
      <w:r w:rsidRPr="003F4780">
        <w:rPr>
          <w:sz w:val="28"/>
          <w:szCs w:val="28"/>
          <w:lang w:val="en-US"/>
        </w:rPr>
        <w:t>I</w:t>
      </w:r>
      <w:r w:rsidRPr="003F4780">
        <w:rPr>
          <w:sz w:val="28"/>
          <w:szCs w:val="28"/>
        </w:rPr>
        <w:t xml:space="preserve"> (САЗ 21-27); от 26 июля 2021 года № 187-ЗИ-</w:t>
      </w:r>
      <w:r w:rsidRPr="003F4780">
        <w:rPr>
          <w:sz w:val="28"/>
          <w:szCs w:val="28"/>
          <w:lang w:val="en-US"/>
        </w:rPr>
        <w:t>VII</w:t>
      </w:r>
      <w:r w:rsidRPr="003F4780">
        <w:rPr>
          <w:sz w:val="28"/>
          <w:szCs w:val="28"/>
        </w:rPr>
        <w:t xml:space="preserve"> (САЗ 21-30); от </w:t>
      </w:r>
      <w:hyperlink r:id="rId6" w:tgtFrame="_blank" w:history="1">
        <w:r w:rsidRPr="003F4780">
          <w:rPr>
            <w:sz w:val="28"/>
            <w:szCs w:val="28"/>
          </w:rPr>
          <w:t xml:space="preserve">27 июля </w:t>
        </w:r>
        <w:r w:rsidR="00EE5BE9" w:rsidRPr="003F4780">
          <w:rPr>
            <w:sz w:val="28"/>
            <w:szCs w:val="28"/>
          </w:rPr>
          <w:br/>
        </w:r>
        <w:r w:rsidRPr="003F4780">
          <w:rPr>
            <w:sz w:val="28"/>
            <w:szCs w:val="28"/>
          </w:rPr>
          <w:t>2021 года № 200-ЗИД-VII</w:t>
        </w:r>
      </w:hyperlink>
      <w:r w:rsidRPr="003F4780">
        <w:rPr>
          <w:sz w:val="28"/>
          <w:szCs w:val="28"/>
        </w:rPr>
        <w:t xml:space="preserve"> (САЗ 21-30); от 22 ноября 2021 года № 286-ЗИД-VII (САЗ 21-47); от 20 декабря 2021 года № 335-ЗИД-VII (САЗ 21-51); </w:t>
      </w:r>
      <w:r w:rsidR="00EE5BE9" w:rsidRPr="003F4780">
        <w:rPr>
          <w:sz w:val="28"/>
          <w:szCs w:val="28"/>
        </w:rPr>
        <w:br/>
      </w:r>
      <w:r w:rsidRPr="003F4780">
        <w:rPr>
          <w:sz w:val="28"/>
          <w:szCs w:val="28"/>
        </w:rPr>
        <w:t xml:space="preserve">от 30 декабря 2021 года № 365-ЗИД-VII (САЗ 21-52); от 13 июля 2022 года </w:t>
      </w:r>
      <w:r w:rsidR="00EE5BE9" w:rsidRPr="003F4780">
        <w:rPr>
          <w:sz w:val="28"/>
          <w:szCs w:val="28"/>
        </w:rPr>
        <w:br/>
      </w:r>
      <w:r w:rsidRPr="003F4780">
        <w:rPr>
          <w:sz w:val="28"/>
          <w:szCs w:val="28"/>
        </w:rPr>
        <w:t>№ 177-ЗИД-VII (САЗ 22-27);</w:t>
      </w:r>
      <w:r w:rsidR="00B84322" w:rsidRPr="003F4780">
        <w:rPr>
          <w:sz w:val="28"/>
          <w:szCs w:val="28"/>
        </w:rPr>
        <w:t xml:space="preserve"> от 25 июля 2022 года № 201-ЗИД-</w:t>
      </w:r>
      <w:r w:rsidR="00B84322" w:rsidRPr="003F4780">
        <w:rPr>
          <w:sz w:val="28"/>
          <w:szCs w:val="28"/>
          <w:lang w:val="en-US"/>
        </w:rPr>
        <w:t>VII</w:t>
      </w:r>
      <w:r w:rsidR="00B84322" w:rsidRPr="003F4780">
        <w:rPr>
          <w:sz w:val="28"/>
          <w:szCs w:val="28"/>
        </w:rPr>
        <w:t xml:space="preserve"> </w:t>
      </w:r>
      <w:r w:rsidR="00EE5BE9" w:rsidRPr="003F4780">
        <w:rPr>
          <w:sz w:val="28"/>
          <w:szCs w:val="28"/>
        </w:rPr>
        <w:br/>
      </w:r>
      <w:r w:rsidR="00B84322" w:rsidRPr="003F4780">
        <w:rPr>
          <w:sz w:val="28"/>
          <w:szCs w:val="28"/>
        </w:rPr>
        <w:t>(САЗ 22-29)</w:t>
      </w:r>
      <w:r w:rsidRPr="003F4780">
        <w:rPr>
          <w:sz w:val="28"/>
          <w:szCs w:val="28"/>
        </w:rPr>
        <w:t>;</w:t>
      </w:r>
      <w:r w:rsidR="00B84322" w:rsidRPr="003F4780">
        <w:rPr>
          <w:sz w:val="28"/>
          <w:szCs w:val="28"/>
        </w:rPr>
        <w:t xml:space="preserve"> от 29 июля 2022 года № 229-ЗИД-</w:t>
      </w:r>
      <w:r w:rsidR="00B84322" w:rsidRPr="003F4780">
        <w:rPr>
          <w:sz w:val="28"/>
          <w:szCs w:val="28"/>
          <w:lang w:val="en-US"/>
        </w:rPr>
        <w:t>VII</w:t>
      </w:r>
      <w:r w:rsidR="00B84322" w:rsidRPr="003F4780">
        <w:rPr>
          <w:sz w:val="28"/>
          <w:szCs w:val="28"/>
        </w:rPr>
        <w:t xml:space="preserve"> (САЗ 22-29), с</w:t>
      </w:r>
      <w:r w:rsidR="005006F3" w:rsidRPr="003F4780">
        <w:rPr>
          <w:sz w:val="28"/>
          <w:szCs w:val="28"/>
        </w:rPr>
        <w:t>ледующие изменения и дополнения</w:t>
      </w:r>
      <w:r w:rsidR="001C54EA" w:rsidRPr="003F4780">
        <w:rPr>
          <w:sz w:val="28"/>
          <w:szCs w:val="28"/>
        </w:rPr>
        <w:t>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1. В подпунктах ж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и л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пункта 2 статьи 1 слова «государственного заказа» заменить словами «государственных нужд».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2. Подпункт п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пункта 2 статьи 1 изложить в следующей редакции: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 xml:space="preserve">«п) проведением мероприятий для государственных нужд по трансляции, ретрансляции телепрограмм и </w:t>
      </w:r>
      <w:proofErr w:type="spellStart"/>
      <w:r w:rsidRPr="003F4780">
        <w:rPr>
          <w:sz w:val="28"/>
          <w:szCs w:val="28"/>
        </w:rPr>
        <w:t>радиоконтролю</w:t>
      </w:r>
      <w:proofErr w:type="spellEnd"/>
      <w:r w:rsidRPr="003F4780">
        <w:rPr>
          <w:sz w:val="28"/>
          <w:szCs w:val="28"/>
        </w:rPr>
        <w:t xml:space="preserve"> радиоизлучающих средств как составной части мониторинга радиочастотного спектра. Порядок формирования и механизм реализации государственных нужд по трансляции, ретрансляции телепрограмм и </w:t>
      </w:r>
      <w:proofErr w:type="spellStart"/>
      <w:r w:rsidRPr="003F4780">
        <w:rPr>
          <w:sz w:val="28"/>
          <w:szCs w:val="28"/>
        </w:rPr>
        <w:t>радиоконтролю</w:t>
      </w:r>
      <w:proofErr w:type="spellEnd"/>
      <w:r w:rsidRPr="003F4780">
        <w:rPr>
          <w:sz w:val="28"/>
          <w:szCs w:val="28"/>
        </w:rPr>
        <w:t xml:space="preserve"> радиоизлучающих средств как составной части мониторинга радиочастотного спектра утверждается нормативным правовым актом Правительства Приднестровской Молдавской Республики».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lastRenderedPageBreak/>
        <w:t>3. Подпункт у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статьи 3 после слов «учреждения с автономным статусом» через запятую дополнить словом «фонды».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4. В подпункте а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пункта 7 статьи 16 слова «компетенцией исполнительным органом государственной власти, в ведении которого находятся вопросы государственной политики и нормативно-правового регулирования» заменить словами «законодательством Приднестровской Молдавской Республики».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5. В подпункте а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пункта 1 статьи 19 слова «в том числе организации любых организационно-правовых форм, использующие труд лиц, осужденных к лишению свободы, и (или) лиц, содержащихся в лечебно-трудовых профилакториях» с предшествующей запятой исключить.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6. Подпункт г</w:t>
      </w:r>
      <w:r w:rsidR="00FA430F" w:rsidRPr="003F4780">
        <w:rPr>
          <w:sz w:val="28"/>
          <w:szCs w:val="28"/>
        </w:rPr>
        <w:t>)</w:t>
      </w:r>
      <w:r w:rsidRPr="003F4780">
        <w:rPr>
          <w:sz w:val="28"/>
          <w:szCs w:val="28"/>
        </w:rPr>
        <w:t xml:space="preserve"> пункта 1 статьи 22 исключить.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7. Пункт 9 статьи 39 дополнить частью второй следующего содержания: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«</w:t>
      </w:r>
      <w:r w:rsidRPr="003F4780">
        <w:rPr>
          <w:bCs/>
          <w:sz w:val="28"/>
          <w:szCs w:val="28"/>
        </w:rPr>
        <w:t xml:space="preserve">В случае если участником закупки не соблюдены требования, предусмотренные частью первой настоящего пункта, то такой участник закупки признается не соответствующим требованиям, а его заявка не оценивается. Основания, по которым участник открытого аукциона был отстранен, фиксируются в протоколе вскрытия конвертов. В случае установления факта подачи одним участником закупки 2 (двух) и более заявок на участие в открытом аукционе заявки такого участника не рассматриваются </w:t>
      </w:r>
      <w:r w:rsidRPr="003F4780">
        <w:rPr>
          <w:bCs/>
          <w:sz w:val="28"/>
          <w:szCs w:val="28"/>
        </w:rPr>
        <w:br/>
        <w:t>и возвращаются ему</w:t>
      </w:r>
      <w:r w:rsidRPr="003F4780">
        <w:rPr>
          <w:sz w:val="28"/>
          <w:szCs w:val="28"/>
        </w:rPr>
        <w:t>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8. Часть первую пункта 13 статьи 44 изложить в следующей редакции: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«</w:t>
      </w:r>
      <w:r w:rsidR="006F4C54" w:rsidRPr="003F4780">
        <w:rPr>
          <w:sz w:val="28"/>
          <w:szCs w:val="28"/>
        </w:rPr>
        <w:t xml:space="preserve">13. </w:t>
      </w:r>
      <w:r w:rsidRPr="003F4780">
        <w:rPr>
          <w:sz w:val="28"/>
          <w:szCs w:val="28"/>
        </w:rPr>
        <w:t xml:space="preserve">После оглашения условий исполнения контракта, содержащихся </w:t>
      </w:r>
      <w:r w:rsidRPr="003F4780">
        <w:rPr>
          <w:sz w:val="28"/>
          <w:szCs w:val="28"/>
        </w:rPr>
        <w:br/>
        <w:t xml:space="preserve">в заявке, признанной лучшей, или условий, содержащихся в единственной заявке на участие в запросе предложений, запрос предложений завершается. Протокол проведения запроса предложений ведется комиссией, подписывается всеми присутствующими членами комиссии не позднее </w:t>
      </w:r>
      <w:r w:rsidR="002A75D2" w:rsidRPr="003F4780">
        <w:rPr>
          <w:sz w:val="28"/>
          <w:szCs w:val="28"/>
        </w:rPr>
        <w:br/>
      </w:r>
      <w:r w:rsidRPr="003F4780">
        <w:rPr>
          <w:sz w:val="28"/>
          <w:szCs w:val="28"/>
        </w:rPr>
        <w:t>2 (двух)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предложений, без учета срока приостановления процедуры запроса предложений. Всем участникам или участнику запроса предложений, подавш</w:t>
      </w:r>
      <w:r w:rsidR="00A23CB3" w:rsidRPr="003F4780">
        <w:rPr>
          <w:sz w:val="28"/>
          <w:szCs w:val="28"/>
        </w:rPr>
        <w:t>ему</w:t>
      </w:r>
      <w:r w:rsidRPr="003F4780">
        <w:rPr>
          <w:sz w:val="28"/>
          <w:szCs w:val="28"/>
        </w:rPr>
        <w:t xml:space="preserve"> единственную заявку, предлагается направить окончательное предложение не позднее рабочего дня, следующего за датой проведения запроса предложений».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9. В части третьей пункта 17 статьи 44 слова «итогового протокола» исключить.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A7291" w:rsidRPr="003F4780" w:rsidRDefault="00BA7291" w:rsidP="00B84322">
      <w:pPr>
        <w:ind w:firstLine="709"/>
        <w:jc w:val="both"/>
        <w:rPr>
          <w:sz w:val="28"/>
          <w:szCs w:val="28"/>
        </w:rPr>
      </w:pPr>
    </w:p>
    <w:p w:rsidR="00BA7291" w:rsidRPr="003F4780" w:rsidRDefault="00BA7291" w:rsidP="00B84322">
      <w:pPr>
        <w:ind w:firstLine="709"/>
        <w:jc w:val="both"/>
        <w:rPr>
          <w:sz w:val="28"/>
          <w:szCs w:val="28"/>
        </w:rPr>
      </w:pPr>
    </w:p>
    <w:p w:rsidR="00BA7291" w:rsidRPr="003F4780" w:rsidRDefault="00BA7291" w:rsidP="00BA7291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lastRenderedPageBreak/>
        <w:t>10. Подпункт к) пункта 1 статьи 48 изложить в следующей редакции:</w:t>
      </w:r>
    </w:p>
    <w:p w:rsidR="00BA7291" w:rsidRPr="003F4780" w:rsidRDefault="00BA7291" w:rsidP="00BA7291">
      <w:pPr>
        <w:ind w:firstLine="709"/>
        <w:jc w:val="both"/>
        <w:outlineLvl w:val="1"/>
        <w:rPr>
          <w:sz w:val="28"/>
          <w:szCs w:val="28"/>
        </w:rPr>
      </w:pPr>
      <w:r w:rsidRPr="003F4780">
        <w:rPr>
          <w:sz w:val="28"/>
          <w:szCs w:val="28"/>
        </w:rPr>
        <w:t>«к) закупки работ (услуг)</w:t>
      </w:r>
      <w:r w:rsidR="009E6EC8" w:rsidRPr="003F4780">
        <w:rPr>
          <w:sz w:val="28"/>
          <w:szCs w:val="28"/>
        </w:rPr>
        <w:t>,</w:t>
      </w:r>
      <w:r w:rsidRPr="003F4780">
        <w:rPr>
          <w:sz w:val="28"/>
          <w:szCs w:val="28"/>
        </w:rPr>
        <w:t xml:space="preserve"> за исключением работ по строительству, реконструкции, капитальному ремонту, у единственного поставщика (подрядчика, исполнителя), определенного законом (решением) о бюджете на очередной финансовый год или государственными программами Приднестровской Молдавской Республики (в том числе государственными целевыми программами), утвержденными Верховным Советом Приднестровской Молдавской Республики».</w:t>
      </w:r>
    </w:p>
    <w:p w:rsidR="00BA7291" w:rsidRPr="003F4780" w:rsidRDefault="00BA7291" w:rsidP="00BA7291">
      <w:pPr>
        <w:ind w:firstLine="709"/>
        <w:jc w:val="both"/>
        <w:rPr>
          <w:bCs/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1</w:t>
      </w:r>
      <w:r w:rsidR="00BA7291" w:rsidRPr="003F4780">
        <w:rPr>
          <w:sz w:val="28"/>
          <w:szCs w:val="28"/>
        </w:rPr>
        <w:t>1</w:t>
      </w:r>
      <w:r w:rsidRPr="003F4780">
        <w:rPr>
          <w:sz w:val="28"/>
          <w:szCs w:val="28"/>
        </w:rPr>
        <w:t>. Часть первую пункта 3 статьи 48 изложить в следующей редакции: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«</w:t>
      </w:r>
      <w:r w:rsidR="00CD6D6F" w:rsidRPr="003F4780">
        <w:rPr>
          <w:sz w:val="28"/>
          <w:szCs w:val="28"/>
        </w:rPr>
        <w:t xml:space="preserve">3. </w:t>
      </w:r>
      <w:r w:rsidRPr="003F4780">
        <w:rPr>
          <w:sz w:val="28"/>
          <w:szCs w:val="28"/>
        </w:rPr>
        <w:t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Форма отчета, указанного в настоящем пункте, утверждается исполнительным органом государственной власти, в ведении которого находятся вопросы регулирования государственной системы в сфере закупок».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1</w:t>
      </w:r>
      <w:r w:rsidR="00BA7291" w:rsidRPr="003F4780">
        <w:rPr>
          <w:sz w:val="28"/>
          <w:szCs w:val="28"/>
        </w:rPr>
        <w:t>2</w:t>
      </w:r>
      <w:r w:rsidRPr="003F4780">
        <w:rPr>
          <w:sz w:val="28"/>
          <w:szCs w:val="28"/>
        </w:rPr>
        <w:t xml:space="preserve">. В пункте 4 статьи 61 </w:t>
      </w:r>
      <w:r w:rsidR="0001664E" w:rsidRPr="003F4780">
        <w:rPr>
          <w:sz w:val="28"/>
          <w:szCs w:val="28"/>
        </w:rPr>
        <w:t>цифровое</w:t>
      </w:r>
      <w:r w:rsidRPr="003F4780">
        <w:rPr>
          <w:sz w:val="28"/>
          <w:szCs w:val="28"/>
        </w:rPr>
        <w:t xml:space="preserve"> обозначение «2023» заменить </w:t>
      </w:r>
      <w:r w:rsidRPr="003F4780">
        <w:rPr>
          <w:sz w:val="28"/>
          <w:szCs w:val="28"/>
        </w:rPr>
        <w:br/>
      </w:r>
      <w:r w:rsidR="006D706F" w:rsidRPr="003F4780">
        <w:rPr>
          <w:sz w:val="28"/>
          <w:szCs w:val="28"/>
        </w:rPr>
        <w:t>цифровым</w:t>
      </w:r>
      <w:r w:rsidRPr="003F4780">
        <w:rPr>
          <w:sz w:val="28"/>
          <w:szCs w:val="28"/>
        </w:rPr>
        <w:t xml:space="preserve"> обозначение</w:t>
      </w:r>
      <w:r w:rsidR="009E6EC8" w:rsidRPr="003F4780">
        <w:rPr>
          <w:sz w:val="28"/>
          <w:szCs w:val="28"/>
        </w:rPr>
        <w:t>м</w:t>
      </w:r>
      <w:r w:rsidRPr="003F4780">
        <w:rPr>
          <w:sz w:val="28"/>
          <w:szCs w:val="28"/>
        </w:rPr>
        <w:t xml:space="preserve"> «2024».</w:t>
      </w: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</w:p>
    <w:p w:rsidR="00B84322" w:rsidRPr="003F4780" w:rsidRDefault="00BA7291" w:rsidP="00B84322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13</w:t>
      </w:r>
      <w:r w:rsidR="00B84322" w:rsidRPr="003F4780">
        <w:rPr>
          <w:sz w:val="28"/>
          <w:szCs w:val="28"/>
        </w:rPr>
        <w:t xml:space="preserve">. </w:t>
      </w:r>
      <w:r w:rsidR="00C7749D" w:rsidRPr="003F4780">
        <w:rPr>
          <w:sz w:val="20"/>
          <w:szCs w:val="20"/>
        </w:rPr>
        <w:t xml:space="preserve"> </w:t>
      </w:r>
      <w:r w:rsidR="00C7749D" w:rsidRPr="003F4780">
        <w:rPr>
          <w:sz w:val="28"/>
          <w:szCs w:val="28"/>
        </w:rPr>
        <w:t xml:space="preserve">В пунктах 7 и 8 статьи 61 </w:t>
      </w:r>
      <w:r w:rsidR="0001664E" w:rsidRPr="003F4780">
        <w:rPr>
          <w:sz w:val="28"/>
          <w:szCs w:val="28"/>
        </w:rPr>
        <w:t>цифровое</w:t>
      </w:r>
      <w:r w:rsidR="00C7749D" w:rsidRPr="003F4780">
        <w:rPr>
          <w:sz w:val="28"/>
          <w:szCs w:val="28"/>
        </w:rPr>
        <w:t xml:space="preserve"> обозначение «2022» заменить </w:t>
      </w:r>
      <w:r w:rsidR="006D706F" w:rsidRPr="003F4780">
        <w:rPr>
          <w:sz w:val="28"/>
          <w:szCs w:val="28"/>
        </w:rPr>
        <w:t>цифровым</w:t>
      </w:r>
      <w:r w:rsidR="009E6EC8" w:rsidRPr="003F4780">
        <w:rPr>
          <w:sz w:val="28"/>
          <w:szCs w:val="28"/>
        </w:rPr>
        <w:t xml:space="preserve"> обозначением</w:t>
      </w:r>
      <w:r w:rsidR="00C7749D" w:rsidRPr="003F4780">
        <w:rPr>
          <w:sz w:val="28"/>
          <w:szCs w:val="28"/>
        </w:rPr>
        <w:t xml:space="preserve"> «2023».</w:t>
      </w:r>
    </w:p>
    <w:p w:rsidR="00B84322" w:rsidRPr="003F4780" w:rsidRDefault="00B84322" w:rsidP="00B84322">
      <w:pPr>
        <w:ind w:firstLine="709"/>
        <w:jc w:val="both"/>
        <w:rPr>
          <w:bCs/>
          <w:sz w:val="28"/>
          <w:szCs w:val="28"/>
        </w:rPr>
      </w:pPr>
    </w:p>
    <w:p w:rsidR="00431E09" w:rsidRPr="003F4780" w:rsidRDefault="00431E09" w:rsidP="00431E09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1</w:t>
      </w:r>
      <w:r w:rsidR="00BA7291" w:rsidRPr="003F4780">
        <w:rPr>
          <w:sz w:val="28"/>
          <w:szCs w:val="28"/>
        </w:rPr>
        <w:t>4</w:t>
      </w:r>
      <w:r w:rsidRPr="003F4780">
        <w:rPr>
          <w:sz w:val="28"/>
          <w:szCs w:val="28"/>
        </w:rPr>
        <w:t>. Статью 61 дополнить пунктом 9 следующего содержания:</w:t>
      </w:r>
    </w:p>
    <w:p w:rsidR="00431E09" w:rsidRPr="003F4780" w:rsidRDefault="00431E09" w:rsidP="00431E09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>«9. Приостановить до 31 марта 2023 год</w:t>
      </w:r>
      <w:r w:rsidR="009E6EC8" w:rsidRPr="003F4780">
        <w:rPr>
          <w:sz w:val="28"/>
          <w:szCs w:val="28"/>
        </w:rPr>
        <w:t>а</w:t>
      </w:r>
      <w:r w:rsidRPr="003F4780">
        <w:rPr>
          <w:sz w:val="28"/>
          <w:szCs w:val="28"/>
        </w:rPr>
        <w:t xml:space="preserve"> действие норм настоящего Закона в части:</w:t>
      </w:r>
    </w:p>
    <w:p w:rsidR="00431E09" w:rsidRPr="003F4780" w:rsidRDefault="00431E09" w:rsidP="00431E09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 xml:space="preserve">а) ведения реестров контрактов, заключенных государственными (муниципальными) заказчиками; </w:t>
      </w:r>
    </w:p>
    <w:p w:rsidR="00431E09" w:rsidRPr="003F4780" w:rsidRDefault="00431E09" w:rsidP="00431E09">
      <w:pPr>
        <w:ind w:firstLine="709"/>
        <w:jc w:val="both"/>
        <w:rPr>
          <w:sz w:val="28"/>
          <w:szCs w:val="28"/>
        </w:rPr>
      </w:pPr>
      <w:r w:rsidRPr="003F4780">
        <w:rPr>
          <w:sz w:val="28"/>
          <w:szCs w:val="28"/>
        </w:rPr>
        <w:t xml:space="preserve">б) оплаты (финансирования) контрактов, заключенных государственными (муниципальными) заказчиками, информация о которых не включена в реестр контрактов». </w:t>
      </w:r>
    </w:p>
    <w:p w:rsidR="00431E09" w:rsidRPr="003F4780" w:rsidRDefault="00431E09" w:rsidP="00431E09">
      <w:pPr>
        <w:ind w:firstLine="709"/>
        <w:jc w:val="both"/>
        <w:rPr>
          <w:bCs/>
          <w:sz w:val="28"/>
          <w:szCs w:val="28"/>
        </w:rPr>
      </w:pPr>
    </w:p>
    <w:p w:rsidR="00B84322" w:rsidRPr="003F4780" w:rsidRDefault="00B84322" w:rsidP="00B84322">
      <w:pPr>
        <w:ind w:firstLine="709"/>
        <w:jc w:val="both"/>
        <w:rPr>
          <w:sz w:val="28"/>
          <w:szCs w:val="28"/>
        </w:rPr>
      </w:pPr>
      <w:r w:rsidRPr="003F4780">
        <w:rPr>
          <w:b/>
          <w:sz w:val="28"/>
          <w:szCs w:val="28"/>
        </w:rPr>
        <w:t>Статья 2.</w:t>
      </w:r>
      <w:r w:rsidRPr="003F4780">
        <w:rPr>
          <w:sz w:val="28"/>
          <w:szCs w:val="28"/>
        </w:rPr>
        <w:t> Настоящий Закон вступает в силу</w:t>
      </w:r>
      <w:r w:rsidRPr="003F4780">
        <w:rPr>
          <w:snapToGrid w:val="0"/>
          <w:sz w:val="28"/>
          <w:szCs w:val="28"/>
        </w:rPr>
        <w:t xml:space="preserve"> </w:t>
      </w:r>
      <w:r w:rsidRPr="003F4780">
        <w:rPr>
          <w:sz w:val="28"/>
          <w:szCs w:val="28"/>
        </w:rPr>
        <w:t>со дня, следующего за днем официального опубликования.</w:t>
      </w:r>
    </w:p>
    <w:p w:rsidR="00AE249C" w:rsidRPr="003F4780" w:rsidRDefault="00AE249C" w:rsidP="00AE249C">
      <w:pPr>
        <w:ind w:firstLine="709"/>
        <w:jc w:val="both"/>
        <w:rPr>
          <w:sz w:val="28"/>
          <w:szCs w:val="28"/>
        </w:rPr>
      </w:pPr>
    </w:p>
    <w:p w:rsidR="00AE249C" w:rsidRPr="003F4780" w:rsidRDefault="00AE249C" w:rsidP="00AE249C">
      <w:pPr>
        <w:ind w:firstLine="709"/>
        <w:jc w:val="both"/>
        <w:rPr>
          <w:sz w:val="28"/>
          <w:szCs w:val="28"/>
        </w:rPr>
      </w:pPr>
    </w:p>
    <w:p w:rsidR="00AE249C" w:rsidRPr="003F4780" w:rsidRDefault="00AE249C" w:rsidP="00AE249C">
      <w:pPr>
        <w:jc w:val="both"/>
        <w:rPr>
          <w:sz w:val="28"/>
          <w:szCs w:val="28"/>
        </w:rPr>
      </w:pPr>
      <w:r w:rsidRPr="003F4780">
        <w:rPr>
          <w:sz w:val="28"/>
          <w:szCs w:val="28"/>
        </w:rPr>
        <w:t>Президент</w:t>
      </w:r>
    </w:p>
    <w:p w:rsidR="00AE249C" w:rsidRPr="003F4780" w:rsidRDefault="00AE249C" w:rsidP="00AE249C">
      <w:pPr>
        <w:jc w:val="both"/>
        <w:rPr>
          <w:sz w:val="28"/>
          <w:szCs w:val="28"/>
        </w:rPr>
      </w:pPr>
      <w:r w:rsidRPr="003F4780">
        <w:rPr>
          <w:sz w:val="28"/>
          <w:szCs w:val="28"/>
        </w:rPr>
        <w:t>Приднестровской</w:t>
      </w:r>
    </w:p>
    <w:p w:rsidR="00095114" w:rsidRPr="00095114" w:rsidRDefault="00AE249C" w:rsidP="0078568B">
      <w:pPr>
        <w:jc w:val="both"/>
        <w:rPr>
          <w:sz w:val="28"/>
          <w:szCs w:val="28"/>
        </w:rPr>
      </w:pPr>
      <w:r w:rsidRPr="003F4780">
        <w:rPr>
          <w:sz w:val="28"/>
          <w:szCs w:val="28"/>
        </w:rPr>
        <w:t>Молдавской Республики                                            В. Н. КРАСНОСЕЛЬСКИЙ</w:t>
      </w:r>
      <w:bookmarkStart w:id="0" w:name="_GoBack"/>
      <w:bookmarkEnd w:id="0"/>
    </w:p>
    <w:p w:rsidR="0078568B" w:rsidRPr="00D91258" w:rsidRDefault="0078568B" w:rsidP="0078568B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78568B" w:rsidRPr="00D91258" w:rsidRDefault="0078568B" w:rsidP="0078568B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2022</w:t>
      </w:r>
      <w:r w:rsidRPr="00D91258">
        <w:rPr>
          <w:sz w:val="28"/>
          <w:szCs w:val="28"/>
        </w:rPr>
        <w:t xml:space="preserve"> г.</w:t>
      </w:r>
    </w:p>
    <w:p w:rsidR="0078568B" w:rsidRPr="00E47AD2" w:rsidRDefault="0078568B" w:rsidP="0078568B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398-ЗИД-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78568B" w:rsidRPr="00E47AD2" w:rsidSect="00455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BD" w:rsidRDefault="00663EBD" w:rsidP="004556F8">
      <w:r>
        <w:separator/>
      </w:r>
    </w:p>
  </w:endnote>
  <w:endnote w:type="continuationSeparator" w:id="0">
    <w:p w:rsidR="00663EBD" w:rsidRDefault="00663EBD" w:rsidP="004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BD" w:rsidRDefault="00663EBD" w:rsidP="004556F8">
      <w:r>
        <w:separator/>
      </w:r>
    </w:p>
  </w:footnote>
  <w:footnote w:type="continuationSeparator" w:id="0">
    <w:p w:rsidR="00663EBD" w:rsidRDefault="00663EBD" w:rsidP="004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13963"/>
      <w:docPartObj>
        <w:docPartGallery w:val="Page Numbers (Top of Page)"/>
        <w:docPartUnique/>
      </w:docPartObj>
    </w:sdtPr>
    <w:sdtEndPr/>
    <w:sdtContent>
      <w:p w:rsidR="004556F8" w:rsidRDefault="004556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2"/>
    <w:rsid w:val="0001664E"/>
    <w:rsid w:val="00077CD5"/>
    <w:rsid w:val="00095114"/>
    <w:rsid w:val="001C54EA"/>
    <w:rsid w:val="0029328F"/>
    <w:rsid w:val="002A75D2"/>
    <w:rsid w:val="003F4780"/>
    <w:rsid w:val="00431E09"/>
    <w:rsid w:val="004556F8"/>
    <w:rsid w:val="005006F3"/>
    <w:rsid w:val="00611914"/>
    <w:rsid w:val="006365A6"/>
    <w:rsid w:val="00663EBD"/>
    <w:rsid w:val="006D706F"/>
    <w:rsid w:val="006F4C54"/>
    <w:rsid w:val="0078568B"/>
    <w:rsid w:val="007E2C14"/>
    <w:rsid w:val="008D5B8D"/>
    <w:rsid w:val="009E6EC8"/>
    <w:rsid w:val="00A23CB3"/>
    <w:rsid w:val="00A60713"/>
    <w:rsid w:val="00A81197"/>
    <w:rsid w:val="00AC7298"/>
    <w:rsid w:val="00AE249C"/>
    <w:rsid w:val="00B65896"/>
    <w:rsid w:val="00B84322"/>
    <w:rsid w:val="00B92700"/>
    <w:rsid w:val="00BA7291"/>
    <w:rsid w:val="00BB6B64"/>
    <w:rsid w:val="00C079A9"/>
    <w:rsid w:val="00C40599"/>
    <w:rsid w:val="00C7749D"/>
    <w:rsid w:val="00C93A00"/>
    <w:rsid w:val="00CD6D6F"/>
    <w:rsid w:val="00ED76C8"/>
    <w:rsid w:val="00EE5BE9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3FCB-4053-4609-A34C-C0FC86B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5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B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B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30</cp:revision>
  <cp:lastPrinted>2022-12-29T08:05:00Z</cp:lastPrinted>
  <dcterms:created xsi:type="dcterms:W3CDTF">2022-12-21T13:23:00Z</dcterms:created>
  <dcterms:modified xsi:type="dcterms:W3CDTF">2022-12-29T09:29:00Z</dcterms:modified>
</cp:coreProperties>
</file>