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C60" w:rsidRPr="0065520C" w:rsidRDefault="00B86C60" w:rsidP="00B86C60">
      <w:pPr>
        <w:jc w:val="center"/>
        <w:rPr>
          <w:sz w:val="28"/>
          <w:szCs w:val="28"/>
        </w:rPr>
      </w:pPr>
    </w:p>
    <w:p w:rsidR="00B86C60" w:rsidRPr="0065520C" w:rsidRDefault="00B86C60" w:rsidP="00B86C60">
      <w:pPr>
        <w:jc w:val="center"/>
        <w:rPr>
          <w:sz w:val="28"/>
          <w:szCs w:val="28"/>
        </w:rPr>
      </w:pPr>
    </w:p>
    <w:p w:rsidR="00B86C60" w:rsidRPr="0065520C" w:rsidRDefault="00B86C60" w:rsidP="00B86C60">
      <w:pPr>
        <w:jc w:val="center"/>
        <w:rPr>
          <w:sz w:val="28"/>
          <w:szCs w:val="28"/>
        </w:rPr>
      </w:pPr>
    </w:p>
    <w:p w:rsidR="00B86C60" w:rsidRPr="0065520C" w:rsidRDefault="00B86C60" w:rsidP="00B86C60">
      <w:pPr>
        <w:jc w:val="center"/>
        <w:rPr>
          <w:sz w:val="28"/>
          <w:szCs w:val="28"/>
        </w:rPr>
      </w:pPr>
    </w:p>
    <w:p w:rsidR="00B86C60" w:rsidRPr="0065520C" w:rsidRDefault="00B86C60" w:rsidP="00B86C60">
      <w:pPr>
        <w:jc w:val="center"/>
        <w:rPr>
          <w:sz w:val="28"/>
          <w:szCs w:val="28"/>
        </w:rPr>
      </w:pPr>
    </w:p>
    <w:p w:rsidR="00B86C60" w:rsidRPr="0065520C" w:rsidRDefault="00B86C60" w:rsidP="00B86C60">
      <w:pPr>
        <w:jc w:val="center"/>
        <w:rPr>
          <w:b/>
          <w:sz w:val="28"/>
          <w:szCs w:val="28"/>
        </w:rPr>
      </w:pPr>
      <w:r w:rsidRPr="0065520C">
        <w:rPr>
          <w:b/>
          <w:sz w:val="28"/>
          <w:szCs w:val="28"/>
        </w:rPr>
        <w:t>Закон</w:t>
      </w:r>
    </w:p>
    <w:p w:rsidR="00B86C60" w:rsidRPr="0065520C" w:rsidRDefault="00B86C60" w:rsidP="00B86C60">
      <w:pPr>
        <w:jc w:val="center"/>
        <w:rPr>
          <w:b/>
          <w:sz w:val="28"/>
          <w:szCs w:val="28"/>
        </w:rPr>
      </w:pPr>
      <w:r w:rsidRPr="0065520C">
        <w:rPr>
          <w:b/>
          <w:sz w:val="28"/>
          <w:szCs w:val="28"/>
        </w:rPr>
        <w:t>Приднестровской Молдавской Республики</w:t>
      </w:r>
    </w:p>
    <w:p w:rsidR="00B86C60" w:rsidRPr="0065520C" w:rsidRDefault="00B86C60" w:rsidP="00B86C60">
      <w:pPr>
        <w:jc w:val="center"/>
        <w:rPr>
          <w:b/>
          <w:sz w:val="28"/>
          <w:szCs w:val="28"/>
        </w:rPr>
      </w:pPr>
    </w:p>
    <w:p w:rsidR="00B86C60" w:rsidRDefault="00B86C60" w:rsidP="00B86C60">
      <w:pPr>
        <w:jc w:val="center"/>
        <w:rPr>
          <w:rFonts w:eastAsia="Calibri"/>
          <w:b/>
          <w:sz w:val="28"/>
          <w:szCs w:val="28"/>
          <w:lang w:val="x-none" w:eastAsia="x-none"/>
        </w:rPr>
      </w:pPr>
      <w:r w:rsidRPr="00B86C60">
        <w:rPr>
          <w:rFonts w:eastAsia="Calibri"/>
          <w:b/>
          <w:sz w:val="28"/>
          <w:szCs w:val="28"/>
          <w:lang w:eastAsia="x-none"/>
        </w:rPr>
        <w:t>«</w:t>
      </w:r>
      <w:r w:rsidRPr="00B86C60">
        <w:rPr>
          <w:rFonts w:eastAsia="Calibri"/>
          <w:b/>
          <w:sz w:val="28"/>
          <w:szCs w:val="28"/>
          <w:lang w:val="x-none" w:eastAsia="x-none"/>
        </w:rPr>
        <w:t xml:space="preserve">О внесении </w:t>
      </w:r>
      <w:r w:rsidRPr="00B86C60">
        <w:rPr>
          <w:rFonts w:eastAsia="Calibri"/>
          <w:b/>
          <w:sz w:val="28"/>
          <w:szCs w:val="28"/>
          <w:lang w:eastAsia="x-none"/>
        </w:rPr>
        <w:t>изменений</w:t>
      </w:r>
      <w:r w:rsidRPr="00B86C60">
        <w:rPr>
          <w:rFonts w:eastAsia="Calibri"/>
          <w:b/>
          <w:sz w:val="28"/>
          <w:szCs w:val="28"/>
          <w:lang w:val="x-none" w:eastAsia="x-none"/>
        </w:rPr>
        <w:t xml:space="preserve"> </w:t>
      </w:r>
    </w:p>
    <w:p w:rsidR="00B86C60" w:rsidRPr="00B86C60" w:rsidRDefault="00B86C60" w:rsidP="00B86C60">
      <w:pPr>
        <w:jc w:val="center"/>
        <w:rPr>
          <w:rFonts w:eastAsia="Calibri"/>
          <w:b/>
          <w:sz w:val="28"/>
          <w:szCs w:val="28"/>
          <w:lang w:val="x-none" w:eastAsia="x-none"/>
        </w:rPr>
      </w:pPr>
      <w:r w:rsidRPr="00B86C60">
        <w:rPr>
          <w:rFonts w:eastAsia="Calibri"/>
          <w:b/>
          <w:sz w:val="28"/>
          <w:szCs w:val="28"/>
          <w:lang w:val="x-none" w:eastAsia="x-none"/>
        </w:rPr>
        <w:t>в Закон Приднестровской Молдавской Республики</w:t>
      </w:r>
    </w:p>
    <w:p w:rsidR="00B86C60" w:rsidRPr="00B86C60" w:rsidRDefault="00B86C60" w:rsidP="00B86C60">
      <w:pPr>
        <w:jc w:val="center"/>
        <w:rPr>
          <w:rFonts w:eastAsia="Calibri"/>
          <w:b/>
          <w:sz w:val="28"/>
          <w:szCs w:val="28"/>
          <w:highlight w:val="yellow"/>
          <w:lang w:eastAsia="x-none"/>
        </w:rPr>
      </w:pPr>
      <w:r w:rsidRPr="00B86C60">
        <w:rPr>
          <w:rFonts w:eastAsia="Calibri"/>
          <w:b/>
          <w:sz w:val="28"/>
          <w:szCs w:val="28"/>
          <w:lang w:eastAsia="x-none"/>
        </w:rPr>
        <w:t>«О бухгалтерском учете и финансовой отчетности»</w:t>
      </w:r>
    </w:p>
    <w:p w:rsidR="00B86C60" w:rsidRPr="0065520C" w:rsidRDefault="00B86C60" w:rsidP="00B86C60">
      <w:pPr>
        <w:ind w:firstLine="708"/>
        <w:jc w:val="both"/>
        <w:rPr>
          <w:sz w:val="28"/>
          <w:szCs w:val="28"/>
        </w:rPr>
      </w:pPr>
    </w:p>
    <w:p w:rsidR="00B86C60" w:rsidRPr="0065520C" w:rsidRDefault="00B86C60" w:rsidP="00B86C60">
      <w:pPr>
        <w:jc w:val="both"/>
        <w:rPr>
          <w:sz w:val="28"/>
          <w:szCs w:val="28"/>
        </w:rPr>
      </w:pPr>
      <w:r w:rsidRPr="0065520C">
        <w:rPr>
          <w:sz w:val="28"/>
          <w:szCs w:val="28"/>
        </w:rPr>
        <w:t>Принят Верховным Советом</w:t>
      </w:r>
    </w:p>
    <w:p w:rsidR="00B86C60" w:rsidRPr="0065520C" w:rsidRDefault="00B86C60" w:rsidP="00B86C60">
      <w:pPr>
        <w:jc w:val="both"/>
        <w:rPr>
          <w:sz w:val="28"/>
          <w:szCs w:val="28"/>
        </w:rPr>
      </w:pPr>
      <w:r w:rsidRPr="0065520C">
        <w:rPr>
          <w:sz w:val="28"/>
          <w:szCs w:val="28"/>
        </w:rPr>
        <w:t>Приднестровской Молдавской Республики                              23 марта 2022 года</w:t>
      </w:r>
    </w:p>
    <w:p w:rsidR="00B86C60" w:rsidRPr="0065520C" w:rsidRDefault="00B86C60" w:rsidP="00B86C60">
      <w:pPr>
        <w:ind w:firstLine="708"/>
        <w:jc w:val="both"/>
        <w:rPr>
          <w:sz w:val="28"/>
          <w:szCs w:val="28"/>
        </w:rPr>
      </w:pPr>
    </w:p>
    <w:p w:rsidR="00B86C60" w:rsidRPr="00ED0F44" w:rsidRDefault="00B86C60" w:rsidP="007136B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F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Статья 1.</w:t>
      </w:r>
      <w:r w:rsidRPr="00ED0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0F44" w:rsidRPr="00ED0F44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="007136BC">
        <w:rPr>
          <w:rFonts w:ascii="Times New Roman" w:hAnsi="Times New Roman" w:cs="Times New Roman"/>
          <w:sz w:val="28"/>
          <w:szCs w:val="28"/>
        </w:rPr>
        <w:br/>
      </w:r>
      <w:r w:rsidR="00ED0F44" w:rsidRPr="00ED0F44">
        <w:rPr>
          <w:rFonts w:ascii="Times New Roman" w:hAnsi="Times New Roman" w:cs="Times New Roman"/>
          <w:sz w:val="28"/>
          <w:szCs w:val="28"/>
        </w:rPr>
        <w:t xml:space="preserve">от 17 августа 2004 года № 467-З-III «О бухгалтерском учете и финансовой отчетности» (САЗ 04-34) с изменениями и дополнениями, внесенными законами Приднестровской Молдавской Республики от 10 марта 2005 года </w:t>
      </w:r>
      <w:r w:rsidR="00ED0F44" w:rsidRPr="00ED0F44">
        <w:rPr>
          <w:rFonts w:ascii="Times New Roman" w:hAnsi="Times New Roman" w:cs="Times New Roman"/>
          <w:sz w:val="28"/>
          <w:szCs w:val="28"/>
        </w:rPr>
        <w:br/>
        <w:t>№ 544-ЗИ-III (САЗ 05-11); от 4 августа 2005 года № 610-ЗИД-III (САЗ 05-32); от 23 марта 2009 года № 683-ЗИ-IV (САЗ 09-</w:t>
      </w:r>
      <w:r w:rsidR="00ED0F44" w:rsidRPr="00477073">
        <w:rPr>
          <w:rFonts w:ascii="Times New Roman" w:hAnsi="Times New Roman" w:cs="Times New Roman"/>
          <w:sz w:val="28"/>
          <w:szCs w:val="28"/>
        </w:rPr>
        <w:t>13)</w:t>
      </w:r>
      <w:r w:rsidR="0098486B" w:rsidRPr="00477073">
        <w:rPr>
          <w:rFonts w:ascii="Times New Roman" w:hAnsi="Times New Roman" w:cs="Times New Roman"/>
          <w:sz w:val="28"/>
          <w:szCs w:val="28"/>
        </w:rPr>
        <w:t>,</w:t>
      </w:r>
      <w:r w:rsidR="00ED0F44" w:rsidRPr="00477073">
        <w:rPr>
          <w:rFonts w:ascii="Times New Roman" w:hAnsi="Times New Roman" w:cs="Times New Roman"/>
          <w:sz w:val="28"/>
          <w:szCs w:val="28"/>
        </w:rPr>
        <w:t xml:space="preserve"> в</w:t>
      </w:r>
      <w:r w:rsidR="00ED0F44" w:rsidRPr="00ED0F44">
        <w:rPr>
          <w:rFonts w:ascii="Times New Roman" w:hAnsi="Times New Roman" w:cs="Times New Roman"/>
          <w:sz w:val="28"/>
          <w:szCs w:val="28"/>
        </w:rPr>
        <w:t xml:space="preserve">ключая от 23 апреля </w:t>
      </w:r>
      <w:r w:rsidR="00ED0F44" w:rsidRPr="00ED0F44">
        <w:rPr>
          <w:rFonts w:ascii="Times New Roman" w:hAnsi="Times New Roman" w:cs="Times New Roman"/>
          <w:sz w:val="28"/>
          <w:szCs w:val="28"/>
        </w:rPr>
        <w:br/>
        <w:t xml:space="preserve">2009 года № 735-ЗИД-IV (САЗ 09-17) с изменениями, внесенными законами Приднестровской Молдавской Республики от 9 октября 2009 года </w:t>
      </w:r>
      <w:r w:rsidR="00ED0F44" w:rsidRPr="00ED0F44">
        <w:rPr>
          <w:rFonts w:ascii="Times New Roman" w:hAnsi="Times New Roman" w:cs="Times New Roman"/>
          <w:sz w:val="28"/>
          <w:szCs w:val="28"/>
        </w:rPr>
        <w:br/>
        <w:t xml:space="preserve">№ 881-ЗИ-IV (САЗ 09-41), от 9 октября 2009 года № 882-ЗИ-IV (САЗ 09-41), от 12 марта 2010 года № 38-ЗИ-IV (САЗ 10-10), а также от 27 марта 2012 года № 35-ЗИ-V (САЗ 12-20); от 10 мая 2012 года № 60-ЗИ-V (САЗ 12-20); </w:t>
      </w:r>
      <w:r w:rsidR="00ED0F44" w:rsidRPr="00ED0F44">
        <w:rPr>
          <w:rFonts w:ascii="Times New Roman" w:hAnsi="Times New Roman" w:cs="Times New Roman"/>
          <w:sz w:val="28"/>
          <w:szCs w:val="28"/>
        </w:rPr>
        <w:br/>
        <w:t xml:space="preserve">от 24 октября 2012 года № 203-ЗИ-V (САЗ 12-44); от 18 марта 2013 года </w:t>
      </w:r>
      <w:r w:rsidR="00ED0F44" w:rsidRPr="00ED0F44">
        <w:rPr>
          <w:rFonts w:ascii="Times New Roman" w:hAnsi="Times New Roman" w:cs="Times New Roman"/>
          <w:sz w:val="28"/>
          <w:szCs w:val="28"/>
        </w:rPr>
        <w:br/>
        <w:t xml:space="preserve">№ 59-ЗИ-V (САЗ 13-11); от 17 февраля 2016 года № 26-ЗД-VI (САЗ 16-7); </w:t>
      </w:r>
      <w:r w:rsidR="00ED0F44" w:rsidRPr="00ED0F44">
        <w:rPr>
          <w:rFonts w:ascii="Times New Roman" w:hAnsi="Times New Roman" w:cs="Times New Roman"/>
          <w:sz w:val="28"/>
          <w:szCs w:val="28"/>
        </w:rPr>
        <w:br/>
        <w:t xml:space="preserve">от 5 апреля 2016 года № 92-ЗИД-VI (САЗ 16-14); от 1 ноября 2017 года </w:t>
      </w:r>
      <w:r w:rsidR="00ED0F44" w:rsidRPr="00ED0F44">
        <w:rPr>
          <w:rFonts w:ascii="Times New Roman" w:hAnsi="Times New Roman" w:cs="Times New Roman"/>
          <w:sz w:val="28"/>
          <w:szCs w:val="28"/>
        </w:rPr>
        <w:br/>
        <w:t xml:space="preserve">№ 297-ЗИ-VI (САЗ 17-45,1); от 1 марта 2018 года № 53-ЗД-VI (САЗ 18-9); </w:t>
      </w:r>
      <w:r w:rsidR="00ED0F44" w:rsidRPr="00ED0F44">
        <w:rPr>
          <w:rFonts w:ascii="Times New Roman" w:hAnsi="Times New Roman" w:cs="Times New Roman"/>
          <w:sz w:val="28"/>
          <w:szCs w:val="28"/>
        </w:rPr>
        <w:br/>
        <w:t xml:space="preserve">от 18 апреля 2018 года № 100-ЗИ-VI (САЗ 18-16); от 30 сентября 2018 года </w:t>
      </w:r>
      <w:r w:rsidR="00ED0F44" w:rsidRPr="00ED0F44">
        <w:rPr>
          <w:rFonts w:ascii="Times New Roman" w:hAnsi="Times New Roman" w:cs="Times New Roman"/>
          <w:sz w:val="28"/>
          <w:szCs w:val="28"/>
        </w:rPr>
        <w:br/>
        <w:t>№ 277-ЗИ-VI (САЗ 18-39); от 5 августа 2020 года № 128-ЗИД-</w:t>
      </w:r>
      <w:r w:rsidR="00ED0F44" w:rsidRPr="00ED0F4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D0F44" w:rsidRPr="00ED0F44">
        <w:rPr>
          <w:rFonts w:ascii="Times New Roman" w:hAnsi="Times New Roman" w:cs="Times New Roman"/>
          <w:sz w:val="28"/>
          <w:szCs w:val="28"/>
        </w:rPr>
        <w:t xml:space="preserve"> (САЗ 20-32); от 8 февраля 2021 года № 11-ЗИ-</w:t>
      </w:r>
      <w:r w:rsidR="00ED0F44" w:rsidRPr="00ED0F4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D0F44" w:rsidRPr="00ED0F44">
        <w:rPr>
          <w:rFonts w:ascii="Times New Roman" w:hAnsi="Times New Roman" w:cs="Times New Roman"/>
          <w:sz w:val="28"/>
          <w:szCs w:val="28"/>
        </w:rPr>
        <w:t xml:space="preserve"> (САЗ 21-6); </w:t>
      </w:r>
      <w:r w:rsidR="002C5FFB">
        <w:rPr>
          <w:rFonts w:ascii="Times New Roman" w:hAnsi="Times New Roman" w:cs="Times New Roman"/>
          <w:sz w:val="28"/>
          <w:szCs w:val="28"/>
        </w:rPr>
        <w:t xml:space="preserve">от </w:t>
      </w:r>
      <w:r w:rsidR="00ED0F44" w:rsidRPr="00ED0F44">
        <w:rPr>
          <w:rFonts w:ascii="Times New Roman" w:hAnsi="Times New Roman" w:cs="Times New Roman"/>
          <w:sz w:val="28"/>
          <w:szCs w:val="28"/>
        </w:rPr>
        <w:t xml:space="preserve">12 мая 2021 года </w:t>
      </w:r>
      <w:r w:rsidR="007136BC">
        <w:rPr>
          <w:rFonts w:ascii="Times New Roman" w:hAnsi="Times New Roman" w:cs="Times New Roman"/>
          <w:sz w:val="28"/>
          <w:szCs w:val="28"/>
        </w:rPr>
        <w:br/>
      </w:r>
      <w:r w:rsidR="00ED0F44" w:rsidRPr="00ED0F44">
        <w:rPr>
          <w:rFonts w:ascii="Times New Roman" w:hAnsi="Times New Roman" w:cs="Times New Roman"/>
          <w:sz w:val="28"/>
          <w:szCs w:val="28"/>
        </w:rPr>
        <w:t>№ 88-ЗИД-VI</w:t>
      </w:r>
      <w:r w:rsidR="00ED0F44" w:rsidRPr="00ED0F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D0F44" w:rsidRPr="00ED0F44">
        <w:rPr>
          <w:rFonts w:ascii="Times New Roman" w:hAnsi="Times New Roman" w:cs="Times New Roman"/>
          <w:sz w:val="28"/>
          <w:szCs w:val="28"/>
        </w:rPr>
        <w:t xml:space="preserve"> (САЗ 21-19)</w:t>
      </w:r>
      <w:r w:rsidRPr="00ED0F4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90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изменения.</w:t>
      </w:r>
    </w:p>
    <w:p w:rsidR="00B86C60" w:rsidRPr="00FE6425" w:rsidRDefault="00B86C60" w:rsidP="00B86C60">
      <w:pPr>
        <w:ind w:firstLine="709"/>
        <w:jc w:val="both"/>
        <w:rPr>
          <w:rFonts w:eastAsia="Calibri"/>
          <w:sz w:val="28"/>
          <w:szCs w:val="28"/>
          <w:lang w:eastAsia="x-none"/>
        </w:rPr>
      </w:pPr>
    </w:p>
    <w:p w:rsidR="00B86C60" w:rsidRPr="00FE6425" w:rsidRDefault="00B86C60" w:rsidP="00B86C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6425">
        <w:rPr>
          <w:rFonts w:eastAsia="Calibri"/>
          <w:sz w:val="28"/>
          <w:szCs w:val="28"/>
          <w:lang w:eastAsia="en-US"/>
        </w:rPr>
        <w:t>1. Пункт 5 статьи 11 изложить в следующей редакции:</w:t>
      </w:r>
    </w:p>
    <w:p w:rsidR="00B86C60" w:rsidRPr="00FE6425" w:rsidRDefault="00B86C60" w:rsidP="00B86C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6425">
        <w:rPr>
          <w:rFonts w:eastAsia="Calibri"/>
          <w:sz w:val="28"/>
          <w:szCs w:val="28"/>
          <w:lang w:eastAsia="en-US"/>
        </w:rPr>
        <w:t xml:space="preserve">«5. </w:t>
      </w:r>
      <w:r w:rsidRPr="00FE642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Первичный учетный документ составляется на бумажном носителе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br/>
      </w:r>
      <w:r w:rsidRPr="00FE642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 (или) в виде электронного документа, подписанного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E6425">
        <w:rPr>
          <w:rFonts w:eastAsia="Calibri"/>
          <w:sz w:val="28"/>
          <w:szCs w:val="28"/>
          <w:lang w:eastAsia="en-US"/>
        </w:rPr>
        <w:t>электронной подписью».</w:t>
      </w:r>
    </w:p>
    <w:p w:rsidR="00B86C60" w:rsidRPr="00FE6425" w:rsidRDefault="00B86C60" w:rsidP="00B86C60">
      <w:pPr>
        <w:ind w:firstLine="709"/>
        <w:jc w:val="both"/>
        <w:rPr>
          <w:sz w:val="28"/>
          <w:szCs w:val="28"/>
        </w:rPr>
      </w:pPr>
    </w:p>
    <w:p w:rsidR="00B86C60" w:rsidRPr="00FE6425" w:rsidRDefault="00B86C60" w:rsidP="00B86C60">
      <w:pPr>
        <w:ind w:firstLine="709"/>
        <w:jc w:val="both"/>
        <w:rPr>
          <w:sz w:val="28"/>
          <w:szCs w:val="28"/>
        </w:rPr>
      </w:pPr>
      <w:r w:rsidRPr="00FE6425">
        <w:rPr>
          <w:sz w:val="28"/>
          <w:szCs w:val="28"/>
        </w:rPr>
        <w:t>2. Пункт 6 статьи 11 изложить в следующей редакции:</w:t>
      </w:r>
    </w:p>
    <w:p w:rsidR="00B86C60" w:rsidRPr="00FE6425" w:rsidRDefault="00B86C60" w:rsidP="00B86C60">
      <w:pPr>
        <w:ind w:firstLine="709"/>
        <w:jc w:val="both"/>
        <w:rPr>
          <w:sz w:val="28"/>
          <w:szCs w:val="28"/>
        </w:rPr>
      </w:pPr>
      <w:r w:rsidRPr="00FE6425">
        <w:rPr>
          <w:sz w:val="28"/>
          <w:szCs w:val="28"/>
        </w:rPr>
        <w:t>«6.</w:t>
      </w:r>
      <w:r>
        <w:rPr>
          <w:sz w:val="28"/>
          <w:szCs w:val="28"/>
        </w:rPr>
        <w:t xml:space="preserve"> </w:t>
      </w:r>
      <w:r w:rsidRPr="00FE6425">
        <w:rPr>
          <w:sz w:val="28"/>
          <w:szCs w:val="28"/>
        </w:rPr>
        <w:t xml:space="preserve">В случае если законодательством Приднестровской Молдавской Республики или договором предусмотрено представление копии первичного учетного документа другому лицу или в государственный орган, экономический субъект обязан по требованию другого лица или </w:t>
      </w:r>
      <w:r w:rsidRPr="00FE6425">
        <w:rPr>
          <w:sz w:val="28"/>
          <w:szCs w:val="28"/>
        </w:rPr>
        <w:lastRenderedPageBreak/>
        <w:t>государственного органа за свой счет изготавливать на бумажном носителе заверенные копии первичного учетного документа, при этом заверенная копия первичного учетного документа, составленного в виде электронного документа, должна содержать отметку о том, что данная копия является копией электронного документа».</w:t>
      </w:r>
    </w:p>
    <w:p w:rsidR="00B86C60" w:rsidRPr="006A7EDD" w:rsidRDefault="00B86C60" w:rsidP="00B86C60">
      <w:pPr>
        <w:ind w:firstLine="709"/>
        <w:jc w:val="both"/>
        <w:rPr>
          <w:sz w:val="22"/>
          <w:szCs w:val="22"/>
        </w:rPr>
      </w:pPr>
      <w:bookmarkStart w:id="0" w:name="_GoBack"/>
      <w:bookmarkEnd w:id="0"/>
    </w:p>
    <w:p w:rsidR="00B86C60" w:rsidRPr="00FE6425" w:rsidRDefault="00B86C60" w:rsidP="00B86C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6425">
        <w:rPr>
          <w:rFonts w:eastAsia="Calibri"/>
          <w:sz w:val="28"/>
          <w:szCs w:val="28"/>
          <w:lang w:eastAsia="x-none"/>
        </w:rPr>
        <w:t xml:space="preserve">3. Части вторую и третью пункта 1 статьи 12 </w:t>
      </w:r>
      <w:r w:rsidRPr="00FE6425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B86C60" w:rsidRPr="00FE6425" w:rsidRDefault="00B86C60" w:rsidP="00B86C60">
      <w:pPr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FE6425">
        <w:rPr>
          <w:rFonts w:eastAsia="Calibri"/>
          <w:sz w:val="28"/>
          <w:szCs w:val="28"/>
          <w:lang w:eastAsia="x-none"/>
        </w:rPr>
        <w:t xml:space="preserve">«Регистры бухгалтерского учета составляются на бумажном носителе </w:t>
      </w:r>
      <w:r>
        <w:rPr>
          <w:rFonts w:eastAsia="Calibri"/>
          <w:sz w:val="28"/>
          <w:szCs w:val="28"/>
          <w:lang w:eastAsia="x-none"/>
        </w:rPr>
        <w:br/>
      </w:r>
      <w:r w:rsidRPr="00FE6425">
        <w:rPr>
          <w:rFonts w:eastAsia="Calibri"/>
          <w:sz w:val="28"/>
          <w:szCs w:val="28"/>
          <w:lang w:eastAsia="x-none"/>
        </w:rPr>
        <w:t>и (или) в виде электронного документа, подписанного электронной подписью.</w:t>
      </w:r>
    </w:p>
    <w:p w:rsidR="00B86C60" w:rsidRPr="00FE6425" w:rsidRDefault="00B86C60" w:rsidP="00B86C60">
      <w:pPr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FE6425">
        <w:rPr>
          <w:rFonts w:eastAsia="Calibri"/>
          <w:sz w:val="28"/>
          <w:szCs w:val="28"/>
          <w:lang w:eastAsia="en-US"/>
        </w:rPr>
        <w:t xml:space="preserve">В случае если законодательством Приднестровской Молдавской Республики или договором предусмотрено представление копии </w:t>
      </w:r>
      <w:r w:rsidRPr="00FE6425">
        <w:rPr>
          <w:rFonts w:eastAsia="Calibri"/>
          <w:sz w:val="28"/>
          <w:szCs w:val="28"/>
          <w:lang w:eastAsia="x-none"/>
        </w:rPr>
        <w:t xml:space="preserve">регистра бухгалтерского учета </w:t>
      </w:r>
      <w:r w:rsidRPr="00FE6425">
        <w:rPr>
          <w:rFonts w:eastAsia="Calibri"/>
          <w:sz w:val="28"/>
          <w:szCs w:val="28"/>
          <w:lang w:eastAsia="en-US"/>
        </w:rPr>
        <w:t xml:space="preserve">другому лицу или в государственный орган, экономический субъект обязан по требованию другого лица или государственного органа за свой счет изготавливать на бумажном носителе заверенные копии </w:t>
      </w:r>
      <w:r w:rsidRPr="00FE6425">
        <w:rPr>
          <w:rFonts w:eastAsia="Calibri"/>
          <w:sz w:val="28"/>
          <w:szCs w:val="28"/>
          <w:lang w:eastAsia="x-none"/>
        </w:rPr>
        <w:t>регистра бухгалтерского учета</w:t>
      </w:r>
      <w:r w:rsidRPr="00FE6425">
        <w:rPr>
          <w:rFonts w:eastAsia="Calibri"/>
          <w:sz w:val="28"/>
          <w:szCs w:val="28"/>
          <w:lang w:eastAsia="en-US"/>
        </w:rPr>
        <w:t>, при этом заверенная копия регистра бухгалтерского учета, составленного в виде электронного документа, должна содержать отметку о том, что данная копия является копией электронного документа».</w:t>
      </w:r>
    </w:p>
    <w:p w:rsidR="00B86C60" w:rsidRPr="00FE6425" w:rsidRDefault="00B86C60" w:rsidP="00B86C60">
      <w:pPr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B86C60" w:rsidRPr="00265A45" w:rsidRDefault="00B86C60" w:rsidP="00B86C60">
      <w:pPr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FE6425">
        <w:rPr>
          <w:rFonts w:eastAsia="Calibri"/>
          <w:sz w:val="28"/>
          <w:szCs w:val="28"/>
          <w:lang w:eastAsia="x-none"/>
        </w:rPr>
        <w:t xml:space="preserve">4. </w:t>
      </w:r>
      <w:r w:rsidRPr="00265A45">
        <w:rPr>
          <w:rFonts w:eastAsia="Calibri"/>
          <w:sz w:val="28"/>
          <w:szCs w:val="28"/>
          <w:lang w:eastAsia="x-none"/>
        </w:rPr>
        <w:t>Пункт 2 статьи 23 изложить в следующей редакции:</w:t>
      </w:r>
    </w:p>
    <w:p w:rsidR="004E18AE" w:rsidRPr="00265A45" w:rsidRDefault="004E18AE" w:rsidP="00B86C60">
      <w:pPr>
        <w:ind w:firstLine="709"/>
        <w:jc w:val="both"/>
        <w:rPr>
          <w:sz w:val="28"/>
          <w:szCs w:val="28"/>
        </w:rPr>
      </w:pPr>
      <w:r w:rsidRPr="00265A45">
        <w:rPr>
          <w:sz w:val="28"/>
          <w:szCs w:val="28"/>
        </w:rPr>
        <w:t xml:space="preserve">«2. Средства, обеспечивающие воспроизведение электронных документов, а также проверку подлинности электронной подписи, должны храниться в организации в течение срока, установленного для хранения первичных документов на бумажных носителях, и обладать системой защиты от несанкционированного доступа. Руководитель и другие должностные лица организации, использующие электронные подписи первичных учетных документов, регистров бухгалтерского учета и финансовой отчетности, должны установить надлежащие меры предосторожности и контроля, касающиеся права использования и доступа к электронным подписям, в соответствии с законодательством Приднестровской Молдавской Республики. </w:t>
      </w:r>
    </w:p>
    <w:p w:rsidR="00B86C60" w:rsidRPr="00265A45" w:rsidRDefault="004E18AE" w:rsidP="00B86C60">
      <w:pPr>
        <w:ind w:firstLine="709"/>
        <w:jc w:val="both"/>
        <w:rPr>
          <w:sz w:val="28"/>
          <w:szCs w:val="28"/>
        </w:rPr>
      </w:pPr>
      <w:r w:rsidRPr="00265A45">
        <w:rPr>
          <w:sz w:val="28"/>
          <w:szCs w:val="28"/>
        </w:rPr>
        <w:t>Порядок хранения аккредитованными удостоверяющими центрами средств, обеспечивающих проверку подлинности усиленной квалифицированной электронной подписи, определяется законодательством Приднестровской Молдавской Республики».</w:t>
      </w:r>
    </w:p>
    <w:p w:rsidR="004E18AE" w:rsidRPr="006A7EDD" w:rsidRDefault="004E18AE" w:rsidP="00B86C60">
      <w:pPr>
        <w:ind w:firstLine="709"/>
        <w:jc w:val="both"/>
        <w:rPr>
          <w:highlight w:val="yellow"/>
        </w:rPr>
      </w:pPr>
    </w:p>
    <w:p w:rsidR="00B86C60" w:rsidRPr="00FE6425" w:rsidRDefault="00B86C60" w:rsidP="00B86C60">
      <w:pPr>
        <w:ind w:firstLine="709"/>
        <w:jc w:val="both"/>
        <w:rPr>
          <w:sz w:val="28"/>
          <w:szCs w:val="28"/>
        </w:rPr>
      </w:pPr>
      <w:r w:rsidRPr="003E0D1D">
        <w:rPr>
          <w:rFonts w:eastAsia="Sylfaen"/>
          <w:b/>
          <w:sz w:val="28"/>
          <w:szCs w:val="28"/>
          <w:shd w:val="clear" w:color="auto" w:fill="FFFFFF"/>
        </w:rPr>
        <w:t>Статья 2.</w:t>
      </w:r>
      <w:r w:rsidRPr="00FE6425">
        <w:rPr>
          <w:rFonts w:eastAsia="Sylfaen"/>
          <w:sz w:val="28"/>
          <w:szCs w:val="28"/>
          <w:shd w:val="clear" w:color="auto" w:fill="FFFFFF"/>
        </w:rPr>
        <w:t xml:space="preserve"> </w:t>
      </w:r>
      <w:r w:rsidRPr="00FE6425">
        <w:rPr>
          <w:sz w:val="28"/>
          <w:szCs w:val="28"/>
        </w:rPr>
        <w:t xml:space="preserve">Настоящий Закон вступает в силу </w:t>
      </w:r>
      <w:r w:rsidRPr="00FE6425">
        <w:rPr>
          <w:sz w:val="28"/>
          <w:szCs w:val="28"/>
          <w:shd w:val="clear" w:color="auto" w:fill="FFFFFF"/>
        </w:rPr>
        <w:t>со дня, следующего за днем официального опубликования.</w:t>
      </w:r>
    </w:p>
    <w:p w:rsidR="003E0D1D" w:rsidRPr="006A7EDD" w:rsidRDefault="003E0D1D" w:rsidP="003E0D1D">
      <w:pPr>
        <w:jc w:val="both"/>
      </w:pPr>
    </w:p>
    <w:p w:rsidR="003E0D1D" w:rsidRPr="0065520C" w:rsidRDefault="003E0D1D" w:rsidP="003E0D1D">
      <w:pPr>
        <w:jc w:val="both"/>
        <w:rPr>
          <w:sz w:val="28"/>
          <w:szCs w:val="28"/>
        </w:rPr>
      </w:pPr>
      <w:r w:rsidRPr="0065520C">
        <w:rPr>
          <w:sz w:val="28"/>
          <w:szCs w:val="28"/>
        </w:rPr>
        <w:t>Президент</w:t>
      </w:r>
    </w:p>
    <w:p w:rsidR="003E0D1D" w:rsidRPr="0065520C" w:rsidRDefault="003E0D1D" w:rsidP="003E0D1D">
      <w:pPr>
        <w:jc w:val="both"/>
        <w:rPr>
          <w:sz w:val="28"/>
          <w:szCs w:val="28"/>
        </w:rPr>
      </w:pPr>
      <w:r w:rsidRPr="0065520C">
        <w:rPr>
          <w:sz w:val="28"/>
          <w:szCs w:val="28"/>
        </w:rPr>
        <w:t>Приднестровской</w:t>
      </w:r>
    </w:p>
    <w:p w:rsidR="003E0D1D" w:rsidRDefault="003E0D1D" w:rsidP="003E0D1D">
      <w:pPr>
        <w:jc w:val="both"/>
        <w:rPr>
          <w:sz w:val="28"/>
          <w:szCs w:val="28"/>
        </w:rPr>
      </w:pPr>
      <w:r w:rsidRPr="0065520C">
        <w:rPr>
          <w:sz w:val="28"/>
          <w:szCs w:val="28"/>
        </w:rPr>
        <w:t>Молдавской Республики                                              В. Н. КРАСНОСЕЛЬСКИЙ</w:t>
      </w:r>
    </w:p>
    <w:p w:rsidR="006A7EDD" w:rsidRPr="006A7EDD" w:rsidRDefault="006A7EDD" w:rsidP="006A7EDD">
      <w:pPr>
        <w:jc w:val="both"/>
      </w:pPr>
    </w:p>
    <w:p w:rsidR="006A7EDD" w:rsidRPr="00D91258" w:rsidRDefault="006A7EDD" w:rsidP="006A7EDD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6A7EDD" w:rsidRPr="00D91258" w:rsidRDefault="006A7EDD" w:rsidP="006A7EDD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4 апреля 2022</w:t>
      </w:r>
      <w:r w:rsidRPr="00D91258">
        <w:rPr>
          <w:sz w:val="28"/>
          <w:szCs w:val="28"/>
        </w:rPr>
        <w:t xml:space="preserve"> г.</w:t>
      </w:r>
    </w:p>
    <w:p w:rsidR="006A7EDD" w:rsidRPr="00E47AD2" w:rsidRDefault="006A7EDD" w:rsidP="006A7EDD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49-ЗИ-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sectPr w:rsidR="006A7EDD" w:rsidRPr="00E47AD2" w:rsidSect="003E44A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673" w:rsidRDefault="005B3673" w:rsidP="003E44A9">
      <w:r>
        <w:separator/>
      </w:r>
    </w:p>
  </w:endnote>
  <w:endnote w:type="continuationSeparator" w:id="0">
    <w:p w:rsidR="005B3673" w:rsidRDefault="005B3673" w:rsidP="003E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673" w:rsidRDefault="005B3673" w:rsidP="003E44A9">
      <w:r>
        <w:separator/>
      </w:r>
    </w:p>
  </w:footnote>
  <w:footnote w:type="continuationSeparator" w:id="0">
    <w:p w:rsidR="005B3673" w:rsidRDefault="005B3673" w:rsidP="003E4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210253"/>
      <w:docPartObj>
        <w:docPartGallery w:val="Page Numbers (Top of Page)"/>
        <w:docPartUnique/>
      </w:docPartObj>
    </w:sdtPr>
    <w:sdtEndPr/>
    <w:sdtContent>
      <w:p w:rsidR="003E44A9" w:rsidRDefault="003E44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ED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60"/>
    <w:rsid w:val="001C7C38"/>
    <w:rsid w:val="00265A45"/>
    <w:rsid w:val="002C5FFB"/>
    <w:rsid w:val="003E0D1D"/>
    <w:rsid w:val="003E44A9"/>
    <w:rsid w:val="00436DAF"/>
    <w:rsid w:val="00477073"/>
    <w:rsid w:val="004A4F61"/>
    <w:rsid w:val="004B3076"/>
    <w:rsid w:val="004E18AE"/>
    <w:rsid w:val="004F401B"/>
    <w:rsid w:val="005B3673"/>
    <w:rsid w:val="005B5B75"/>
    <w:rsid w:val="005D08FF"/>
    <w:rsid w:val="00683CF9"/>
    <w:rsid w:val="006A7EDD"/>
    <w:rsid w:val="006F6E11"/>
    <w:rsid w:val="007136BC"/>
    <w:rsid w:val="0098486B"/>
    <w:rsid w:val="009D6FF8"/>
    <w:rsid w:val="00A90200"/>
    <w:rsid w:val="00AE303F"/>
    <w:rsid w:val="00B86C60"/>
    <w:rsid w:val="00C64648"/>
    <w:rsid w:val="00D9324F"/>
    <w:rsid w:val="00ED0F44"/>
    <w:rsid w:val="00EE641F"/>
    <w:rsid w:val="00F46C07"/>
    <w:rsid w:val="00F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B58FC-F4E8-4B50-93BE-33733E85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4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4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44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4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ED0F44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9D6F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6F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16</cp:revision>
  <cp:lastPrinted>2022-04-01T07:56:00Z</cp:lastPrinted>
  <dcterms:created xsi:type="dcterms:W3CDTF">2022-03-23T07:38:00Z</dcterms:created>
  <dcterms:modified xsi:type="dcterms:W3CDTF">2022-04-04T07:02:00Z</dcterms:modified>
</cp:coreProperties>
</file>