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0CAF" w14:textId="77777777" w:rsidR="00FA36FC" w:rsidRDefault="00FA36F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50A2B1D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6224D7F7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A7E162B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122537A1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022A7003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117DA63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8D3E452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3EAE68C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559B4AA5" w14:textId="77777777" w:rsid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418B8837" w14:textId="77777777" w:rsidR="001A217C" w:rsidRP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C7D855E" w14:textId="77777777" w:rsidR="00FA36FC" w:rsidRPr="001A217C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1A217C">
        <w:rPr>
          <w:rFonts w:eastAsia="Calibri"/>
          <w:b w:val="0"/>
          <w:sz w:val="28"/>
          <w:szCs w:val="28"/>
        </w:rPr>
        <w:t xml:space="preserve">О внесении поправок к проекту закона </w:t>
      </w:r>
    </w:p>
    <w:p w14:paraId="3672414A" w14:textId="77777777" w:rsidR="00FA36FC" w:rsidRPr="001A217C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1A217C">
        <w:rPr>
          <w:rFonts w:eastAsia="Calibri"/>
          <w:b w:val="0"/>
          <w:sz w:val="28"/>
          <w:szCs w:val="28"/>
        </w:rPr>
        <w:t xml:space="preserve">Приднестровской Молдавской Республики </w:t>
      </w:r>
    </w:p>
    <w:p w14:paraId="583F7B10" w14:textId="77777777" w:rsidR="00FA36FC" w:rsidRPr="001A217C" w:rsidRDefault="00FA36FC" w:rsidP="001A217C">
      <w:pPr>
        <w:pStyle w:val="head"/>
        <w:spacing w:before="0" w:beforeAutospacing="0" w:after="0" w:afterAutospacing="0"/>
        <w:rPr>
          <w:rFonts w:eastAsia="Calibri"/>
          <w:bCs/>
          <w:kern w:val="36"/>
          <w:szCs w:val="28"/>
        </w:rPr>
      </w:pPr>
      <w:r w:rsidRPr="001A217C">
        <w:rPr>
          <w:rFonts w:eastAsia="Calibri"/>
          <w:bCs/>
          <w:kern w:val="36"/>
          <w:szCs w:val="28"/>
        </w:rPr>
        <w:t>«О республиканском бюджете на 2022 год»</w:t>
      </w:r>
    </w:p>
    <w:p w14:paraId="16610415" w14:textId="77777777" w:rsidR="00FA36FC" w:rsidRDefault="00FA36F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20F56B84" w14:textId="77777777" w:rsidR="001A217C" w:rsidRPr="001A217C" w:rsidRDefault="001A217C" w:rsidP="001A217C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22E6695B" w14:textId="1E76616F" w:rsidR="00FA36FC" w:rsidRDefault="00FA36FC" w:rsidP="0043661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 соответствии со статьей 72 Конституции Приднестровской Молдавской Республики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:</w:t>
      </w:r>
    </w:p>
    <w:p w14:paraId="7B21E3C0" w14:textId="77777777" w:rsidR="001A217C" w:rsidRPr="001A217C" w:rsidRDefault="001A217C" w:rsidP="00436618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7C6485B9" w14:textId="2E7A6F28" w:rsidR="00FA36FC" w:rsidRPr="001A217C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1. Направить поправки к проекту закона Приднестровской Молдавской Республики «О республиканском бюджете на 2022 год» (папка № 358 (Б22) (VI</w:t>
      </w: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val="en-US" w:eastAsia="ru-RU"/>
        </w:rPr>
        <w:t>I</w:t>
      </w: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)), представленному в качестве законодательной инициативы Правительством Приднестровской Молдавской Республики (Распоряжение Правительства Приднестровской Молдавской Республики от 28 октября </w:t>
      </w:r>
      <w:r w:rsid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br/>
      </w: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2021 года № 1033р), на рассмотрение в Верховный Совет Приднестровской Молдавской Республики (прилагаются). </w:t>
      </w:r>
    </w:p>
    <w:p w14:paraId="376AF6DB" w14:textId="77777777" w:rsidR="00FA36FC" w:rsidRPr="001A217C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17C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2. Назначить официальными представителями Президента Приднестровской Молдавской Республики при рассмотрении данных поправок в Верховном Совете Приднестровской Молдавской Республики </w:t>
      </w:r>
      <w:r w:rsidRPr="001A217C">
        <w:rPr>
          <w:rFonts w:ascii="Times New Roman" w:hAnsi="Times New Roman" w:cs="Times New Roman"/>
          <w:color w:val="000000"/>
          <w:sz w:val="28"/>
          <w:szCs w:val="28"/>
        </w:rPr>
        <w:t xml:space="preserve">министра обороны Приднестровской Молдавской Республики </w:t>
      </w:r>
      <w:proofErr w:type="spellStart"/>
      <w:r w:rsidRPr="001A217C">
        <w:rPr>
          <w:rFonts w:ascii="Times New Roman" w:hAnsi="Times New Roman" w:cs="Times New Roman"/>
          <w:color w:val="000000"/>
          <w:sz w:val="28"/>
          <w:szCs w:val="28"/>
        </w:rPr>
        <w:t>Обручкова</w:t>
      </w:r>
      <w:proofErr w:type="spellEnd"/>
      <w:r w:rsidRPr="001A217C">
        <w:rPr>
          <w:rFonts w:ascii="Times New Roman" w:hAnsi="Times New Roman" w:cs="Times New Roman"/>
          <w:color w:val="000000"/>
          <w:sz w:val="28"/>
          <w:szCs w:val="28"/>
        </w:rPr>
        <w:t xml:space="preserve"> О.А., министра здравоохранения Приднестровской Молдавской Республики </w:t>
      </w:r>
      <w:proofErr w:type="spellStart"/>
      <w:r w:rsidRPr="001A217C">
        <w:rPr>
          <w:rFonts w:ascii="Times New Roman" w:hAnsi="Times New Roman" w:cs="Times New Roman"/>
          <w:color w:val="000000"/>
          <w:sz w:val="28"/>
          <w:szCs w:val="28"/>
        </w:rPr>
        <w:t>Албул</w:t>
      </w:r>
      <w:proofErr w:type="spellEnd"/>
      <w:r w:rsidRPr="001A217C">
        <w:rPr>
          <w:rFonts w:ascii="Times New Roman" w:hAnsi="Times New Roman" w:cs="Times New Roman"/>
          <w:color w:val="000000"/>
          <w:sz w:val="28"/>
          <w:szCs w:val="28"/>
        </w:rPr>
        <w:t xml:space="preserve"> К.В., начальника Управления правового обеспечения Министерства обороны Приднестровской Молдавской Республики </w:t>
      </w:r>
      <w:proofErr w:type="spellStart"/>
      <w:r w:rsidRPr="001A217C">
        <w:rPr>
          <w:rFonts w:ascii="Times New Roman" w:hAnsi="Times New Roman" w:cs="Times New Roman"/>
          <w:color w:val="000000"/>
          <w:sz w:val="28"/>
          <w:szCs w:val="28"/>
        </w:rPr>
        <w:t>Борденюк</w:t>
      </w:r>
      <w:proofErr w:type="spellEnd"/>
      <w:r w:rsidRPr="001A217C">
        <w:rPr>
          <w:rFonts w:ascii="Times New Roman" w:hAnsi="Times New Roman" w:cs="Times New Roman"/>
          <w:color w:val="000000"/>
          <w:sz w:val="28"/>
          <w:szCs w:val="28"/>
        </w:rPr>
        <w:t xml:space="preserve"> Е.В., начальника Финансового управления Министерства обороны Приднестровской Молдавской Республики Зубареву И.В., заместителя министра здравоохранения Приднестровской Молдавской Республики по финансово-экономической политике Долганову С.В.</w:t>
      </w:r>
    </w:p>
    <w:p w14:paraId="1D8CF1B9" w14:textId="77777777" w:rsidR="00FA36FC" w:rsidRPr="001A217C" w:rsidRDefault="00FA36FC" w:rsidP="001A21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20898" w14:textId="77777777" w:rsidR="00FA36FC" w:rsidRPr="001A217C" w:rsidRDefault="00FA36FC" w:rsidP="001A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B08684" w14:textId="77777777" w:rsidR="00FA36FC" w:rsidRPr="001A217C" w:rsidRDefault="00FA36FC" w:rsidP="001A217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251A86" w14:textId="77777777" w:rsidR="00FA36FC" w:rsidRPr="001A217C" w:rsidRDefault="00FA36FC" w:rsidP="001A21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63625642" w14:textId="77777777" w:rsidR="001A217C" w:rsidRPr="001A217C" w:rsidRDefault="001A217C" w:rsidP="001A2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23719613" w14:textId="77777777" w:rsidR="001A217C" w:rsidRPr="001A217C" w:rsidRDefault="001A217C" w:rsidP="001A217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9725CD" w14:textId="77777777" w:rsidR="001A217C" w:rsidRPr="001A217C" w:rsidRDefault="001A217C" w:rsidP="001A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0D93" w14:textId="77777777" w:rsidR="001A217C" w:rsidRPr="00E877E7" w:rsidRDefault="001A217C" w:rsidP="001A217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14:paraId="6A1FB404" w14:textId="0332F786" w:rsidR="001A217C" w:rsidRPr="00E877E7" w:rsidRDefault="00E877E7" w:rsidP="001A2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9</w:t>
      </w:r>
      <w:r w:rsidR="001A217C"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2021 г.</w:t>
      </w:r>
    </w:p>
    <w:p w14:paraId="5D49E1B5" w14:textId="410A3BB2" w:rsidR="001A217C" w:rsidRPr="00E877E7" w:rsidRDefault="001A217C" w:rsidP="001A217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</w:t>
      </w:r>
      <w:r w:rsid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</w:p>
    <w:p w14:paraId="3471DFDF" w14:textId="77777777" w:rsidR="001A217C" w:rsidRPr="00E877E7" w:rsidRDefault="001A217C" w:rsidP="00E877E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0FA6387E" w14:textId="77777777" w:rsidR="001A217C" w:rsidRPr="00E877E7" w:rsidRDefault="001A217C" w:rsidP="00E877E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14:paraId="76D20260" w14:textId="77777777" w:rsidR="001A217C" w:rsidRPr="00E877E7" w:rsidRDefault="001A217C" w:rsidP="00E877E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14:paraId="71B21D73" w14:textId="77777777" w:rsidR="001A217C" w:rsidRPr="00E877E7" w:rsidRDefault="001A217C" w:rsidP="00E877E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14:paraId="5920B94A" w14:textId="7A1F65B9" w:rsidR="001A217C" w:rsidRPr="00E877E7" w:rsidRDefault="001A217C" w:rsidP="00E877E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</w:t>
      </w:r>
      <w:r w:rsidRP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E87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409рп</w:t>
      </w:r>
    </w:p>
    <w:p w14:paraId="40772C5E" w14:textId="77777777" w:rsidR="00FA36FC" w:rsidRPr="00E877E7" w:rsidRDefault="00FA36FC" w:rsidP="00E877E7">
      <w:pPr>
        <w:spacing w:after="0" w:line="240" w:lineRule="auto"/>
        <w:ind w:left="5812" w:firstLine="72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329A82CF" w14:textId="77777777" w:rsidR="00FA36FC" w:rsidRPr="001A217C" w:rsidRDefault="00FA36FC" w:rsidP="001A217C">
      <w:pPr>
        <w:spacing w:after="0" w:line="240" w:lineRule="auto"/>
        <w:ind w:firstLine="720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6C9903FB" w14:textId="77777777" w:rsidR="00FA36FC" w:rsidRPr="00436618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4"/>
          <w:szCs w:val="24"/>
        </w:rPr>
      </w:pPr>
      <w:r w:rsidRPr="00436618">
        <w:rPr>
          <w:rFonts w:eastAsia="Calibri"/>
          <w:b w:val="0"/>
          <w:sz w:val="24"/>
          <w:szCs w:val="24"/>
        </w:rPr>
        <w:t>ПОПРАВКИ</w:t>
      </w:r>
    </w:p>
    <w:p w14:paraId="453AAAA5" w14:textId="77777777" w:rsidR="00FA36FC" w:rsidRPr="001A217C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proofErr w:type="gramStart"/>
      <w:r w:rsidRPr="001A217C">
        <w:rPr>
          <w:rFonts w:eastAsia="Calibri"/>
          <w:b w:val="0"/>
          <w:sz w:val="28"/>
          <w:szCs w:val="28"/>
        </w:rPr>
        <w:t>к</w:t>
      </w:r>
      <w:proofErr w:type="gramEnd"/>
      <w:r w:rsidRPr="001A217C">
        <w:rPr>
          <w:rFonts w:eastAsia="Calibri"/>
          <w:b w:val="0"/>
          <w:sz w:val="28"/>
          <w:szCs w:val="28"/>
        </w:rPr>
        <w:t xml:space="preserve"> проекту закона </w:t>
      </w:r>
    </w:p>
    <w:p w14:paraId="76B15C85" w14:textId="77777777" w:rsidR="00FA36FC" w:rsidRPr="001A217C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1A217C">
        <w:rPr>
          <w:rFonts w:eastAsia="Calibri"/>
          <w:b w:val="0"/>
          <w:sz w:val="28"/>
          <w:szCs w:val="28"/>
        </w:rPr>
        <w:t xml:space="preserve">Приднестровской Молдавской Республики </w:t>
      </w:r>
    </w:p>
    <w:p w14:paraId="0D375FB1" w14:textId="77777777" w:rsidR="00FA36FC" w:rsidRPr="001A217C" w:rsidRDefault="00FA36FC" w:rsidP="001A217C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Calibri"/>
          <w:b w:val="0"/>
          <w:sz w:val="28"/>
          <w:szCs w:val="28"/>
        </w:rPr>
      </w:pPr>
      <w:r w:rsidRPr="001A217C">
        <w:rPr>
          <w:rFonts w:eastAsia="Calibri"/>
          <w:b w:val="0"/>
          <w:sz w:val="28"/>
          <w:szCs w:val="28"/>
        </w:rPr>
        <w:t>«О республиканском бюджете на 2022 год»</w:t>
      </w:r>
    </w:p>
    <w:p w14:paraId="205EC911" w14:textId="77777777" w:rsidR="00FA36FC" w:rsidRPr="001A217C" w:rsidRDefault="00FA36FC" w:rsidP="001A2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</w:p>
    <w:p w14:paraId="6F545AC1" w14:textId="0DE12C3E" w:rsidR="00FA36FC" w:rsidRPr="00436618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18">
        <w:rPr>
          <w:rFonts w:ascii="Times New Roman" w:hAnsi="Times New Roman" w:cs="Times New Roman"/>
          <w:sz w:val="28"/>
          <w:szCs w:val="28"/>
        </w:rPr>
        <w:t>На рассмотрении Верховного Совета Приднестровской Молдавской Республики находится проект закона Приднестровской Молдавской Республики «О республиканском бюджете на 2022 год» (папка № 358 (Б22) (VI</w:t>
      </w:r>
      <w:r w:rsidRPr="004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618">
        <w:rPr>
          <w:rFonts w:ascii="Times New Roman" w:hAnsi="Times New Roman" w:cs="Times New Roman"/>
          <w:sz w:val="28"/>
          <w:szCs w:val="28"/>
        </w:rPr>
        <w:t xml:space="preserve">)) (далее – проект закона), 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представленный в качестве законодательной инициативы </w:t>
      </w:r>
      <w:r w:rsidRPr="00436618">
        <w:rPr>
          <w:rFonts w:ascii="Times New Roman" w:hAnsi="Times New Roman" w:cs="Times New Roman"/>
          <w:sz w:val="28"/>
          <w:szCs w:val="28"/>
        </w:rPr>
        <w:t xml:space="preserve">Правительством Приднестровской Молдавской Республики (Распоряжение Правительства Приднестровской Молдавской Республики от 28 октября </w:t>
      </w:r>
      <w:r w:rsidR="00436618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>2021 года № 1033р).</w:t>
      </w:r>
    </w:p>
    <w:p w14:paraId="122A8631" w14:textId="77777777" w:rsidR="00FA36FC" w:rsidRPr="00436618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18">
        <w:rPr>
          <w:rFonts w:ascii="Times New Roman" w:hAnsi="Times New Roman" w:cs="Times New Roman"/>
          <w:sz w:val="28"/>
          <w:szCs w:val="28"/>
        </w:rPr>
        <w:t xml:space="preserve">На основании части второй пункта 1 статьи 65 Закона Приднестровской Молдавской Республики 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от 4 февраля 2021 года № 6-З-VII</w:t>
      </w:r>
      <w:r w:rsidRPr="00436618">
        <w:rPr>
          <w:rFonts w:ascii="Times New Roman" w:hAnsi="Times New Roman" w:cs="Times New Roman"/>
          <w:sz w:val="28"/>
          <w:szCs w:val="28"/>
        </w:rPr>
        <w:t xml:space="preserve"> «Регламент Верховного Совета Приднестровской Молдавской Республики» 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(САЗ 21-5) </w:t>
      </w:r>
      <w:r w:rsidRPr="00436618">
        <w:rPr>
          <w:rFonts w:ascii="Times New Roman" w:hAnsi="Times New Roman" w:cs="Times New Roman"/>
          <w:sz w:val="28"/>
          <w:szCs w:val="28"/>
        </w:rPr>
        <w:t>Президент Приднестровской Молдавской Республики вносит к проекту закона следующие поправки:</w:t>
      </w:r>
    </w:p>
    <w:p w14:paraId="046AC4D2" w14:textId="06270CB4" w:rsidR="00FA36FC" w:rsidRPr="00436618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) в целях создания условий для оперативного разрешения задач в сфере обороны государства и возможности эффективного, безотлагательного  исполнения функций, возложенных на исполнительный орган государственной власти, в ведении которого находятся вопросы обороны,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ункты 1 и 2 статьи 12 проекта закона изложить в следующей редакции:</w:t>
      </w:r>
    </w:p>
    <w:p w14:paraId="0F0D568D" w14:textId="231F0EDD" w:rsidR="00FA36FC" w:rsidRPr="00436618" w:rsidRDefault="00FA36FC" w:rsidP="00436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«</w:t>
      </w:r>
      <w:r w:rsidRPr="00436618">
        <w:rPr>
          <w:rFonts w:ascii="Times New Roman" w:hAnsi="Times New Roman" w:cs="Times New Roman"/>
          <w:sz w:val="28"/>
          <w:szCs w:val="28"/>
        </w:rPr>
        <w:t xml:space="preserve">1. Перераспределение средств между разделами функциональной классификации расходов в пределах суммы расходов республиканского </w:t>
      </w:r>
      <w:r w:rsidR="00AD49F9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>и местных бюджетов городов (районов), утвержденных настоящим Законом (решением о бюджете соответствующего города (района)), производится путем внесения изменений в настоящий Закон (в решение о бюджете соответствующего города (района)),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 за исключением случая, предусмотренного частью второй настоящего пункта.</w:t>
      </w:r>
    </w:p>
    <w:p w14:paraId="0DBE23C9" w14:textId="1ED63CFF" w:rsidR="00FA36FC" w:rsidRPr="00AD49F9" w:rsidRDefault="00FA36FC" w:rsidP="004366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По обращению исполнительного органа государственной власти, </w:t>
      </w:r>
      <w:r w:rsidR="00AD49F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>в ведении которого находятся вопросы обороны</w:t>
      </w:r>
      <w:r w:rsidR="00AD49F9" w:rsidRPr="00AD49F9">
        <w:rPr>
          <w:rFonts w:ascii="Times New Roman" w:hAnsi="Times New Roman" w:cs="Times New Roman"/>
          <w:sz w:val="28"/>
          <w:szCs w:val="28"/>
        </w:rPr>
        <w:t xml:space="preserve">, 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>перераспределение средств между подразделами «Государственная армия» (код 0401), «Миротворческие силы» (код 0402</w:t>
      </w:r>
      <w:r w:rsidR="0019495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функциональной классификации расходов «Государственная оборона» (код 0400) и подразделом «Пенсии военнослужащим» (код 1701</w:t>
      </w:r>
      <w:r w:rsidR="0019495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функциональной классификации расходов </w:t>
      </w:r>
      <w:r w:rsidR="00AD49F9">
        <w:rPr>
          <w:rFonts w:ascii="Times New Roman" w:hAnsi="Times New Roman" w:cs="Times New Roman"/>
          <w:color w:val="000000"/>
          <w:sz w:val="28"/>
          <w:szCs w:val="28"/>
        </w:rPr>
        <w:t>«Социальная политика» (1700)</w:t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 в части выплат гражданам, состоящим </w:t>
      </w:r>
      <w:r w:rsidR="001949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AD49F9">
        <w:rPr>
          <w:rFonts w:ascii="Times New Roman" w:hAnsi="Times New Roman" w:cs="Times New Roman"/>
          <w:spacing w:val="-4"/>
          <w:sz w:val="28"/>
          <w:szCs w:val="28"/>
        </w:rPr>
        <w:t xml:space="preserve">пенсионном учете в Министерстве обороны Приднестровской Молдавской Республики, осуществляется уполномоченным Правительством Приднестровской </w:t>
      </w:r>
      <w:r w:rsidRPr="00AD49F9">
        <w:rPr>
          <w:rFonts w:ascii="Times New Roman" w:hAnsi="Times New Roman" w:cs="Times New Roman"/>
          <w:spacing w:val="-4"/>
          <w:sz w:val="28"/>
          <w:szCs w:val="28"/>
        </w:rPr>
        <w:lastRenderedPageBreak/>
        <w:t>Молдавской Республики исполнительным органом государственной власти, ответственным за исполнение республиканского бюджета, в порядке, установленном нормативным правовым актом Правительства Приднестровской Молдавской Республики</w:t>
      </w:r>
      <w:r w:rsidRPr="00AD49F9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, в срок, не превышающий 7 (семи) рабочих </w:t>
      </w:r>
      <w:r w:rsidRPr="00AD49F9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дней.</w:t>
      </w:r>
    </w:p>
    <w:p w14:paraId="526F9136" w14:textId="6023B002" w:rsidR="00FA36FC" w:rsidRPr="00436618" w:rsidRDefault="00FA36FC" w:rsidP="00436618">
      <w:pPr>
        <w:tabs>
          <w:tab w:val="left" w:pos="0"/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2. Перераспределение расходов республиканского бюджета, утвержденных настоящим Законом, посредством уменьшения расходов, утвержденных по разделу «Социальная политика» (код 1700), подразделу «Пенсии военнослужащим» (код 1701), подразделу «Пенсии и пособия работникам органов судебной власти и прокуратуры» (код 1702) по статьям экономической классификации «Пенсии и пожизненное содержание» </w:t>
      </w:r>
      <w:r w:rsidR="00031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(код 130510), «Денежные компенсации» (код 130650), а также по всем разделам по подстатьям экономической классификации расходов «Мягкий инвентарь </w:t>
      </w:r>
      <w:r w:rsidR="00031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и обмундирование» (код 110320), «Переподготовка кадров» (код 111044), «Вневедомственная охрана» (код 111050), «Денежное вознаграждение </w:t>
      </w:r>
      <w:r w:rsidR="0003185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36618">
        <w:rPr>
          <w:rFonts w:ascii="Times New Roman" w:hAnsi="Times New Roman" w:cs="Times New Roman"/>
          <w:color w:val="000000"/>
          <w:sz w:val="28"/>
          <w:szCs w:val="28"/>
        </w:rPr>
        <w:t xml:space="preserve">за выполненные работы, услуги» (код 111 058), «Товары и услуги, не отнесенные к другим подстатьям» (код 111 070) – за исключением случая, предусмотренного пунктом 3 настоящей статьи, «Приобретение непроизводственного оборудования и предметов длительного пользования для государственных учреждений» (код 240120), с целью увеличения лимитов расходов </w:t>
      </w:r>
      <w:r w:rsidRPr="00436618">
        <w:rPr>
          <w:rFonts w:ascii="Times New Roman" w:hAnsi="Times New Roman" w:cs="Times New Roman"/>
          <w:sz w:val="28"/>
          <w:szCs w:val="28"/>
        </w:rPr>
        <w:t>по иным статьям и подстатьям экономической классификации расходов республиканского бюджета</w:t>
      </w:r>
      <w:r w:rsidR="007845C7">
        <w:rPr>
          <w:rFonts w:ascii="Times New Roman" w:hAnsi="Times New Roman" w:cs="Times New Roman"/>
          <w:sz w:val="28"/>
          <w:szCs w:val="28"/>
        </w:rPr>
        <w:t>,</w:t>
      </w:r>
      <w:r w:rsidRPr="00436618">
        <w:rPr>
          <w:rFonts w:ascii="Times New Roman" w:hAnsi="Times New Roman" w:cs="Times New Roman"/>
          <w:sz w:val="28"/>
          <w:szCs w:val="28"/>
        </w:rPr>
        <w:t xml:space="preserve"> производится путем внесения изменений </w:t>
      </w:r>
      <w:r w:rsidR="00031852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 xml:space="preserve">в настоящий Закон, за исключением случаев, предусмотренных частью второй </w:t>
      </w:r>
      <w:r w:rsidR="00031852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>и третьей настоящего пункта.</w:t>
      </w:r>
    </w:p>
    <w:p w14:paraId="1D22B17E" w14:textId="785CDAA8" w:rsidR="00FA36FC" w:rsidRPr="00436618" w:rsidRDefault="00FA36FC" w:rsidP="00436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618">
        <w:rPr>
          <w:rFonts w:ascii="Times New Roman" w:hAnsi="Times New Roman" w:cs="Times New Roman"/>
          <w:sz w:val="28"/>
          <w:szCs w:val="28"/>
        </w:rPr>
        <w:t xml:space="preserve">По обращению исполнительного органа государственной власти, </w:t>
      </w:r>
      <w:r w:rsidR="00031852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 xml:space="preserve">в ведении которого находятся вопросы здравоохранения, допускается перераспределение средств по разделу функциональной классификации расходов 1600 «Здравоохранение» с подстатей экономической классификации расходов «Мягкий инвентарь и обмундирование» (код 110320), «Переподготовка кадров» (код 111044), «Вневедомственная охрана» (код 111050), «Товары </w:t>
      </w:r>
      <w:r w:rsidR="00031852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 xml:space="preserve">и услуги, не отнесенные к другим подстатьям» (код 111070), «Приобретение непроизводственного оборудования и предметов длительного пользования </w:t>
      </w:r>
      <w:r w:rsidR="00031852">
        <w:rPr>
          <w:rFonts w:ascii="Times New Roman" w:hAnsi="Times New Roman" w:cs="Times New Roman"/>
          <w:sz w:val="28"/>
          <w:szCs w:val="28"/>
        </w:rPr>
        <w:br/>
      </w:r>
      <w:r w:rsidRPr="00436618">
        <w:rPr>
          <w:rFonts w:ascii="Times New Roman" w:hAnsi="Times New Roman" w:cs="Times New Roman"/>
          <w:sz w:val="28"/>
          <w:szCs w:val="28"/>
        </w:rPr>
        <w:t>для государственных учреждений» (код 240120) на иные статьи и подстатьи экономической классификации расходов уполномоченным Правительством Приднестровской Молдавской Республики исполнительным органом государственной власти, ответственным за исполнение республиканского бюджета, в порядке, установленном нормативным правовым актом Правительства Приднестровской Молдавской Республики.</w:t>
      </w:r>
    </w:p>
    <w:p w14:paraId="56FFDF53" w14:textId="5222D916" w:rsidR="00FA36FC" w:rsidRDefault="00FA36FC" w:rsidP="0043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36618">
        <w:rPr>
          <w:rFonts w:ascii="Times New Roman" w:hAnsi="Times New Roman" w:cs="Times New Roman"/>
          <w:bCs/>
          <w:sz w:val="28"/>
          <w:szCs w:val="28"/>
        </w:rPr>
        <w:t xml:space="preserve">По обращению исполнительного органа государственной власти, </w:t>
      </w:r>
      <w:r w:rsidR="00031852">
        <w:rPr>
          <w:rFonts w:ascii="Times New Roman" w:hAnsi="Times New Roman" w:cs="Times New Roman"/>
          <w:bCs/>
          <w:sz w:val="28"/>
          <w:szCs w:val="28"/>
        </w:rPr>
        <w:br/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в ведении которого находятся вопросы обороны, перераспределение средств </w:t>
      </w:r>
      <w:r w:rsidR="00031852">
        <w:rPr>
          <w:rFonts w:ascii="Times New Roman" w:hAnsi="Times New Roman" w:cs="Times New Roman"/>
          <w:bCs/>
          <w:sz w:val="28"/>
          <w:szCs w:val="28"/>
        </w:rPr>
        <w:br/>
      </w:r>
      <w:r w:rsidRPr="00436618">
        <w:rPr>
          <w:rFonts w:ascii="Times New Roman" w:hAnsi="Times New Roman" w:cs="Times New Roman"/>
          <w:bCs/>
          <w:sz w:val="28"/>
          <w:szCs w:val="28"/>
        </w:rPr>
        <w:t>по разделу функциональной классификации расходов «Социальная политика» (код 1700), подразделу «Пенсии военнослужащим» (код 1701)</w:t>
      </w:r>
      <w:r w:rsidRPr="00436618">
        <w:rPr>
          <w:rFonts w:ascii="Times New Roman" w:hAnsi="Times New Roman" w:cs="Times New Roman"/>
          <w:sz w:val="28"/>
          <w:szCs w:val="28"/>
        </w:rPr>
        <w:t xml:space="preserve">, </w:t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по статьям экономической классификации «Пенсии и пожизненное содержание» </w:t>
      </w:r>
      <w:r w:rsidR="00031852">
        <w:rPr>
          <w:rFonts w:ascii="Times New Roman" w:hAnsi="Times New Roman" w:cs="Times New Roman"/>
          <w:bCs/>
          <w:sz w:val="28"/>
          <w:szCs w:val="28"/>
        </w:rPr>
        <w:br/>
      </w:r>
      <w:r w:rsidRPr="00436618">
        <w:rPr>
          <w:rFonts w:ascii="Times New Roman" w:hAnsi="Times New Roman" w:cs="Times New Roman"/>
          <w:bCs/>
          <w:sz w:val="28"/>
          <w:szCs w:val="28"/>
        </w:rPr>
        <w:t>(код 130510), «Денежные компенсации» (код 130650), «Прочие тра</w:t>
      </w:r>
      <w:r w:rsidR="00031852">
        <w:rPr>
          <w:rFonts w:ascii="Times New Roman" w:hAnsi="Times New Roman" w:cs="Times New Roman"/>
          <w:bCs/>
          <w:sz w:val="28"/>
          <w:szCs w:val="28"/>
        </w:rPr>
        <w:t>нсферты населению» (код 130660)</w:t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6618">
        <w:rPr>
          <w:rFonts w:ascii="Times New Roman" w:hAnsi="Times New Roman" w:cs="Times New Roman"/>
          <w:sz w:val="28"/>
          <w:szCs w:val="28"/>
        </w:rPr>
        <w:t xml:space="preserve">в части выплат гражданам, состоящим на пенсионном </w:t>
      </w:r>
      <w:r w:rsidRPr="00436618">
        <w:rPr>
          <w:rFonts w:ascii="Times New Roman" w:hAnsi="Times New Roman" w:cs="Times New Roman"/>
          <w:sz w:val="28"/>
          <w:szCs w:val="28"/>
        </w:rPr>
        <w:lastRenderedPageBreak/>
        <w:t>учете в Министерстве обороны Приднестровской Молдавской Республики,</w:t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1852">
        <w:rPr>
          <w:rFonts w:ascii="Times New Roman" w:hAnsi="Times New Roman" w:cs="Times New Roman"/>
          <w:bCs/>
          <w:sz w:val="28"/>
          <w:szCs w:val="28"/>
        </w:rPr>
        <w:br/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а также по разделу функциональной классификации расходов «Государственная оборона» (код 0400), подразделам «Государственная армия» (код 0401), «Миротворческие силы» (код 0402), по подстатьям экономической классификации расходов «Мягкий инвентарь и обмундирование» (код 110320), «Продукты питания» (код 110330), «Переподготовка кадров» (код 111044), «Вневедомственная охрана» (код 111050), «Денежное вознаграждение </w:t>
      </w:r>
      <w:r w:rsidR="00031852">
        <w:rPr>
          <w:rFonts w:ascii="Times New Roman" w:hAnsi="Times New Roman" w:cs="Times New Roman"/>
          <w:bCs/>
          <w:sz w:val="28"/>
          <w:szCs w:val="28"/>
        </w:rPr>
        <w:br/>
      </w:r>
      <w:r w:rsidRPr="00436618">
        <w:rPr>
          <w:rFonts w:ascii="Times New Roman" w:hAnsi="Times New Roman" w:cs="Times New Roman"/>
          <w:bCs/>
          <w:sz w:val="28"/>
          <w:szCs w:val="28"/>
        </w:rPr>
        <w:t xml:space="preserve">за выполненные работы, услуги» (код 111058), «Товары и услуги, не отнесенные к другим подстатьям» (код 111070), «Приобретение непроизводственного оборудования и предметов длительного пользования для государственных учреждений» (код 240120) на иные статьи и подстатьи экономической классификации расходов осуществляется уполномоченным Правительством Приднестровской Молдавской Республики исполнительным органом государственной власти, ответственным за исполнение республиканского бюджета, в порядке, установленном нормативным правовым актом Правительства Приднестровской Молдавской Республики, в срок, </w:t>
      </w:r>
      <w:r w:rsidR="006930FF">
        <w:rPr>
          <w:rFonts w:ascii="Times New Roman" w:hAnsi="Times New Roman" w:cs="Times New Roman"/>
          <w:bCs/>
          <w:sz w:val="28"/>
          <w:szCs w:val="28"/>
        </w:rPr>
        <w:br/>
      </w:r>
      <w:r w:rsidRPr="006930FF">
        <w:rPr>
          <w:rFonts w:ascii="Times New Roman" w:hAnsi="Times New Roman" w:cs="Times New Roman"/>
          <w:bCs/>
          <w:sz w:val="28"/>
          <w:szCs w:val="28"/>
        </w:rPr>
        <w:t>не превышающий 7 (семи) рабочих дней»</w:t>
      </w:r>
      <w:r w:rsidRP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;</w:t>
      </w:r>
    </w:p>
    <w:p w14:paraId="1DE4CE36" w14:textId="77777777" w:rsidR="006930FF" w:rsidRPr="006930FF" w:rsidRDefault="006930FF" w:rsidP="0043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767F7" w14:textId="3D02EDDD" w:rsidR="00FA36FC" w:rsidRPr="00436618" w:rsidRDefault="00FA36FC" w:rsidP="004366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б) в целях обеспечения государством обязанностей, возложенных на него Конституцией Приднестровской Молдавской Республики по охране здоровья граждан Приднестровской Молдавской Республики и защите материнства </w:t>
      </w:r>
      <w:r w:rsid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br/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и детства, учитывая отсутствие объективной возможности государством осуществлять полное, необходимое для сохранения здоровья детей медицинское обслуживание в государственных медицинских учреждениях </w:t>
      </w:r>
      <w:r w:rsid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всех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детей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республики</w:t>
      </w:r>
      <w:r w:rsid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,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не предусматривая разделения их на какие-либо категории, подпункт «е» пункта 1 статьи 31 проекта закона изложить в следующей редакции:</w:t>
      </w:r>
    </w:p>
    <w:p w14:paraId="4FCC4F63" w14:textId="28BC2D06" w:rsidR="00FA36FC" w:rsidRPr="00436618" w:rsidRDefault="00FA36FC" w:rsidP="0043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«</w:t>
      </w:r>
      <w:proofErr w:type="gramStart"/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е</w:t>
      </w:r>
      <w:proofErr w:type="gramEnd"/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) на оказание консультативного приема узкими специалистами </w:t>
      </w:r>
      <w:r w:rsidR="006930FF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br/>
        <w:t>и диагностики детям</w:t>
      </w: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субъектами частной медицинской деятельности, а также государственными организациями, осуществляющими медицинскую деятельность на основании лицензии, в тех случаях, когда соответствующие виды услуг не могут быть предоставлены в условиях подведомственных исполнительному органу государственной власти, в ведении которого находятся вопросы здравоохранения, лечебно-профилактических учреждений, в сумме 5 000 000 рублей.</w:t>
      </w:r>
    </w:p>
    <w:p w14:paraId="6C0E6EF1" w14:textId="77777777" w:rsidR="00FA36FC" w:rsidRPr="00436618" w:rsidRDefault="00FA36FC" w:rsidP="0043661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</w:pPr>
      <w:r w:rsidRPr="00436618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>Порядок направления детей на оказание им консультативного приема узкими специалистами и диагностики субъектами частной медицинской деятельности и государственными организациями, осуществляющими медицинскую деятельность на основании лицензии, утверждается исполнительным органом государственной власти, в ведении которого находятся вопросы здравоохранения».</w:t>
      </w:r>
    </w:p>
    <w:p w14:paraId="5B63EF4B" w14:textId="3A167195" w:rsidR="00061695" w:rsidRPr="001A217C" w:rsidRDefault="00061695" w:rsidP="001A217C">
      <w:pPr>
        <w:spacing w:after="0" w:line="240" w:lineRule="auto"/>
        <w:rPr>
          <w:sz w:val="28"/>
          <w:szCs w:val="28"/>
        </w:rPr>
      </w:pPr>
    </w:p>
    <w:sectPr w:rsidR="00061695" w:rsidRPr="001A217C" w:rsidSect="001A217C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E1A98" w14:textId="77777777" w:rsidR="004570BB" w:rsidRDefault="004570BB" w:rsidP="001A217C">
      <w:pPr>
        <w:spacing w:after="0" w:line="240" w:lineRule="auto"/>
      </w:pPr>
      <w:r>
        <w:separator/>
      </w:r>
    </w:p>
  </w:endnote>
  <w:endnote w:type="continuationSeparator" w:id="0">
    <w:p w14:paraId="5D8409B5" w14:textId="77777777" w:rsidR="004570BB" w:rsidRDefault="004570BB" w:rsidP="001A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B4D1B" w14:textId="77777777" w:rsidR="004570BB" w:rsidRDefault="004570BB" w:rsidP="001A217C">
      <w:pPr>
        <w:spacing w:after="0" w:line="240" w:lineRule="auto"/>
      </w:pPr>
      <w:r>
        <w:separator/>
      </w:r>
    </w:p>
  </w:footnote>
  <w:footnote w:type="continuationSeparator" w:id="0">
    <w:p w14:paraId="1DCD1BBF" w14:textId="77777777" w:rsidR="004570BB" w:rsidRDefault="004570BB" w:rsidP="001A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2894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EAAF997" w14:textId="37D639BB" w:rsidR="001A217C" w:rsidRPr="001A217C" w:rsidRDefault="001A217C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A21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A21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A21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4190">
          <w:rPr>
            <w:rFonts w:ascii="Times New Roman" w:hAnsi="Times New Roman" w:cs="Times New Roman"/>
            <w:noProof/>
            <w:sz w:val="24"/>
            <w:szCs w:val="24"/>
          </w:rPr>
          <w:t>- 3 -</w:t>
        </w:r>
        <w:r w:rsidRPr="001A21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B9802F" w14:textId="77777777" w:rsidR="001A217C" w:rsidRDefault="001A217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FA"/>
    <w:rsid w:val="00031852"/>
    <w:rsid w:val="00051581"/>
    <w:rsid w:val="00061695"/>
    <w:rsid w:val="00087A95"/>
    <w:rsid w:val="00091CB5"/>
    <w:rsid w:val="000979EA"/>
    <w:rsid w:val="000E4190"/>
    <w:rsid w:val="001401FA"/>
    <w:rsid w:val="0019495A"/>
    <w:rsid w:val="001A217C"/>
    <w:rsid w:val="00207523"/>
    <w:rsid w:val="00230591"/>
    <w:rsid w:val="00263F33"/>
    <w:rsid w:val="0029285E"/>
    <w:rsid w:val="00315298"/>
    <w:rsid w:val="003266E1"/>
    <w:rsid w:val="00372E17"/>
    <w:rsid w:val="00377837"/>
    <w:rsid w:val="003A52EA"/>
    <w:rsid w:val="0042189C"/>
    <w:rsid w:val="0042577F"/>
    <w:rsid w:val="00436618"/>
    <w:rsid w:val="004570BB"/>
    <w:rsid w:val="004A2DED"/>
    <w:rsid w:val="004E6767"/>
    <w:rsid w:val="005232D7"/>
    <w:rsid w:val="00527339"/>
    <w:rsid w:val="00536533"/>
    <w:rsid w:val="0056494D"/>
    <w:rsid w:val="005950B7"/>
    <w:rsid w:val="005C64BA"/>
    <w:rsid w:val="005D2B9F"/>
    <w:rsid w:val="005E56D0"/>
    <w:rsid w:val="0064719F"/>
    <w:rsid w:val="00692DD1"/>
    <w:rsid w:val="006930FF"/>
    <w:rsid w:val="006E39D3"/>
    <w:rsid w:val="00772072"/>
    <w:rsid w:val="007845C7"/>
    <w:rsid w:val="007E2C39"/>
    <w:rsid w:val="007F0D27"/>
    <w:rsid w:val="00804AD5"/>
    <w:rsid w:val="00806B76"/>
    <w:rsid w:val="0084206F"/>
    <w:rsid w:val="00973C32"/>
    <w:rsid w:val="00A80693"/>
    <w:rsid w:val="00AD49F9"/>
    <w:rsid w:val="00B4050E"/>
    <w:rsid w:val="00B43404"/>
    <w:rsid w:val="00B82F9C"/>
    <w:rsid w:val="00C014DB"/>
    <w:rsid w:val="00C01F92"/>
    <w:rsid w:val="00C22951"/>
    <w:rsid w:val="00C472F0"/>
    <w:rsid w:val="00C60A3A"/>
    <w:rsid w:val="00C84DDB"/>
    <w:rsid w:val="00C9563F"/>
    <w:rsid w:val="00CB3D7D"/>
    <w:rsid w:val="00CE5BAD"/>
    <w:rsid w:val="00D41674"/>
    <w:rsid w:val="00D573B6"/>
    <w:rsid w:val="00D949A0"/>
    <w:rsid w:val="00DC2E7D"/>
    <w:rsid w:val="00E1202E"/>
    <w:rsid w:val="00E248CE"/>
    <w:rsid w:val="00E877E7"/>
    <w:rsid w:val="00EB0341"/>
    <w:rsid w:val="00F856B5"/>
    <w:rsid w:val="00FA36FC"/>
    <w:rsid w:val="00FD4643"/>
    <w:rsid w:val="00FE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4C45"/>
  <w15:chartTrackingRefBased/>
  <w15:docId w15:val="{D31DFD20-D427-4D1E-AE08-252C76D0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6FC"/>
  </w:style>
  <w:style w:type="paragraph" w:styleId="1">
    <w:name w:val="heading 1"/>
    <w:basedOn w:val="a"/>
    <w:link w:val="10"/>
    <w:uiPriority w:val="99"/>
    <w:qFormat/>
    <w:rsid w:val="00FE1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E1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">
    <w:name w:val="head"/>
    <w:basedOn w:val="a"/>
    <w:rsid w:val="00FE11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FE11B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E11B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E11BB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E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1BB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051581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051581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A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17C"/>
  </w:style>
  <w:style w:type="paragraph" w:styleId="ac">
    <w:name w:val="footer"/>
    <w:basedOn w:val="a"/>
    <w:link w:val="ad"/>
    <w:uiPriority w:val="99"/>
    <w:unhideWhenUsed/>
    <w:rsid w:val="001A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7FB6-BE44-4DC5-8A88-E7631DAD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27</cp:revision>
  <cp:lastPrinted>2021-12-09T13:32:00Z</cp:lastPrinted>
  <dcterms:created xsi:type="dcterms:W3CDTF">2021-11-25T13:09:00Z</dcterms:created>
  <dcterms:modified xsi:type="dcterms:W3CDTF">2021-12-09T13:32:00Z</dcterms:modified>
</cp:coreProperties>
</file>