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29" w:rsidRPr="00B4733D" w:rsidRDefault="009D1B29" w:rsidP="00CF6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33D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B4733D" w:rsidRDefault="009D1B29" w:rsidP="00CF6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733D">
        <w:rPr>
          <w:rFonts w:ascii="Times New Roman" w:hAnsi="Times New Roman" w:cs="Times New Roman"/>
          <w:sz w:val="28"/>
          <w:szCs w:val="28"/>
        </w:rPr>
        <w:t>к проекту закона Приднес</w:t>
      </w:r>
      <w:r w:rsidR="000305D4" w:rsidRPr="00B4733D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</w:p>
    <w:p w:rsidR="00B4733D" w:rsidRDefault="000305D4" w:rsidP="00CF6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733D">
        <w:rPr>
          <w:rFonts w:ascii="Times New Roman" w:hAnsi="Times New Roman" w:cs="Times New Roman"/>
          <w:sz w:val="28"/>
          <w:szCs w:val="28"/>
        </w:rPr>
        <w:t>«</w:t>
      </w:r>
      <w:r w:rsidR="009D1B29" w:rsidRPr="00B4733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33FC5" w:rsidRPr="00B4733D">
        <w:rPr>
          <w:rFonts w:ascii="Times New Roman" w:hAnsi="Times New Roman" w:cs="Times New Roman"/>
          <w:sz w:val="28"/>
          <w:szCs w:val="28"/>
        </w:rPr>
        <w:t>й</w:t>
      </w:r>
      <w:r w:rsidR="009D1B29" w:rsidRPr="00B4733D">
        <w:rPr>
          <w:rFonts w:ascii="Times New Roman" w:hAnsi="Times New Roman" w:cs="Times New Roman"/>
          <w:sz w:val="28"/>
          <w:szCs w:val="28"/>
        </w:rPr>
        <w:t xml:space="preserve"> и дополнений </w:t>
      </w:r>
    </w:p>
    <w:p w:rsidR="00B4733D" w:rsidRDefault="009D1B29" w:rsidP="00CF6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733D">
        <w:rPr>
          <w:rFonts w:ascii="Times New Roman" w:hAnsi="Times New Roman" w:cs="Times New Roman"/>
          <w:sz w:val="28"/>
          <w:szCs w:val="28"/>
        </w:rPr>
        <w:t>в Закон Приднест</w:t>
      </w:r>
      <w:r w:rsidR="000305D4" w:rsidRPr="00B4733D">
        <w:rPr>
          <w:rFonts w:ascii="Times New Roman" w:hAnsi="Times New Roman" w:cs="Times New Roman"/>
          <w:sz w:val="28"/>
          <w:szCs w:val="28"/>
        </w:rPr>
        <w:t xml:space="preserve">ровской Молдавской Республики </w:t>
      </w:r>
    </w:p>
    <w:p w:rsidR="009D1B29" w:rsidRPr="00B4733D" w:rsidRDefault="000305D4" w:rsidP="00CF6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33D">
        <w:rPr>
          <w:rFonts w:ascii="Times New Roman" w:hAnsi="Times New Roman" w:cs="Times New Roman"/>
          <w:sz w:val="28"/>
          <w:szCs w:val="28"/>
        </w:rPr>
        <w:t>«</w:t>
      </w:r>
      <w:r w:rsidR="009D1B29" w:rsidRPr="00B4733D">
        <w:rPr>
          <w:rFonts w:ascii="Times New Roman" w:hAnsi="Times New Roman" w:cs="Times New Roman"/>
          <w:sz w:val="28"/>
          <w:szCs w:val="28"/>
        </w:rPr>
        <w:t>О респ</w:t>
      </w:r>
      <w:r w:rsidRPr="00B4733D">
        <w:rPr>
          <w:rFonts w:ascii="Times New Roman" w:hAnsi="Times New Roman" w:cs="Times New Roman"/>
          <w:sz w:val="28"/>
          <w:szCs w:val="28"/>
        </w:rPr>
        <w:t>убликанском бюджете на 2019 год»</w:t>
      </w:r>
    </w:p>
    <w:p w:rsidR="00660308" w:rsidRDefault="00660308" w:rsidP="00CF6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4733D" w:rsidRPr="00B4733D" w:rsidRDefault="00B4733D" w:rsidP="00CF6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D1B29" w:rsidRPr="002B568E" w:rsidTr="009D1B29">
        <w:tc>
          <w:tcPr>
            <w:tcW w:w="4785" w:type="dxa"/>
          </w:tcPr>
          <w:p w:rsidR="009D1B29" w:rsidRPr="002B568E" w:rsidRDefault="00660308" w:rsidP="00CF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786" w:type="dxa"/>
          </w:tcPr>
          <w:p w:rsidR="009D1B29" w:rsidRPr="002B568E" w:rsidRDefault="00660308" w:rsidP="00CF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9D1B29" w:rsidRPr="002B568E" w:rsidTr="009D1B29">
        <w:tc>
          <w:tcPr>
            <w:tcW w:w="4785" w:type="dxa"/>
          </w:tcPr>
          <w:p w:rsidR="002B568E" w:rsidRPr="002B568E" w:rsidRDefault="002B568E" w:rsidP="002B568E">
            <w:pPr>
              <w:ind w:firstLine="68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8E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Статья 52</w:t>
            </w:r>
            <w:r w:rsidRPr="002B568E"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  <w:t xml:space="preserve">. </w:t>
            </w:r>
          </w:p>
          <w:p w:rsidR="002B568E" w:rsidRPr="002B568E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Установить в 2019 году следующие размеры и порядок применения расчетного уровня минимальной заработной платы (далее по тексту – 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br/>
              <w:t>РУ МЗП): </w:t>
            </w:r>
          </w:p>
          <w:p w:rsidR="002B568E" w:rsidRPr="002B568E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а) во изменение подпункта б) статьи 11-1 Закона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для начисления оплаты труда, исчисления материальной помощи и иных выплат, уровень которых регулируется Законом Приднестровской Молдавской Республики «О заработной плате работников бюджетной сферы, денежном довольствии</w:t>
            </w:r>
            <w:proofErr w:type="gramEnd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военнослужащих и лиц, приравненных к ним по условиям выплат денежного довольствия, денежном содержании государственных гражданских служащих», нормативными правовыми актами, изданными в соответствии с указанным Законом, а также нормативными правовыми актами, устанавливающими оплату труда работников предприятий, работающих в заданных государством условий хозяйствования, – 1 РУ МЗП в размере 7,3 рубля, за исключением случаев, предусмотренных настоящим Законом;</w:t>
            </w:r>
            <w:proofErr w:type="gramEnd"/>
          </w:p>
          <w:p w:rsidR="002B568E" w:rsidRPr="002B568E" w:rsidRDefault="002B568E" w:rsidP="00CF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29" w:rsidRPr="002B568E" w:rsidRDefault="009D1B29" w:rsidP="00CF6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а-1)отсутствует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а-2)</w:t>
            </w:r>
            <w:r w:rsidR="00660308"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proofErr w:type="gramEnd"/>
          </w:p>
        </w:tc>
        <w:tc>
          <w:tcPr>
            <w:tcW w:w="4786" w:type="dxa"/>
          </w:tcPr>
          <w:p w:rsidR="002B568E" w:rsidRPr="002B568E" w:rsidRDefault="002B568E" w:rsidP="002B568E">
            <w:pPr>
              <w:ind w:firstLine="68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8E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Статья 52</w:t>
            </w:r>
            <w:r w:rsidRPr="002B568E"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  <w:t xml:space="preserve">. </w:t>
            </w:r>
          </w:p>
          <w:p w:rsidR="002B568E" w:rsidRPr="002B568E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Установить в 2019 году следующие размеры и порядок применения расчетного уровня минимальной заработной платы (далее по тексту – 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br/>
              <w:t>РУ МЗП): </w:t>
            </w:r>
          </w:p>
          <w:p w:rsidR="002B568E" w:rsidRPr="002B568E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а) во изменение подпункта б) статьи 11-1 Закона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для начисления оплаты труда, исчисления материальной помощи и иных выплат, уровень которых регулируется Законом Приднестровской Молдавской Республики «О заработной плате работников бюджетной сферы, денежном довольствии</w:t>
            </w:r>
            <w:proofErr w:type="gramEnd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военнослужащих и лиц, приравненных к ним по условиям выплат денежного довольствия, денежном содержании государственных гражданских служащих», нормативными правовыми актами, изданными в соответствии с указанным Законом, а также нормативными правовыми актами, устанавливающими оплату труда работников предприятий, работающих в заданных государством условий хозяйствования, – 1 РУ МЗП в размере 7,3 рубля, за исключением случаев, предусмотренных настоящим Законом;</w:t>
            </w:r>
            <w:proofErr w:type="gramEnd"/>
          </w:p>
          <w:p w:rsidR="002B568E" w:rsidRPr="002B568E" w:rsidRDefault="002B568E" w:rsidP="00CF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0F" w:rsidRPr="002B568E" w:rsidRDefault="000C7A0F" w:rsidP="00290699">
            <w:pPr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а-1) для исчисления ежемесячного денежного содержания судьям в соответствии с Конституционным законом Приднестровской Молдавской Республики  «О статусе судей в Приднестровской Молдавской Республике» - 1 РУ МЗП в размере 7,3 рубля;</w:t>
            </w:r>
            <w:proofErr w:type="gramEnd"/>
          </w:p>
          <w:p w:rsidR="009D1B29" w:rsidRPr="002B568E" w:rsidRDefault="000C7A0F" w:rsidP="00290699">
            <w:pPr>
              <w:ind w:firstLine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а-2) для исчисления пенсий</w:t>
            </w:r>
            <w:r w:rsidR="00A348AC"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, ежемесячных пенсионных компенсаций</w:t>
            </w: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лицам, на которых распространяется действие Закона Приднестровской </w:t>
            </w: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Молдавской Республики 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семей»</w:t>
            </w:r>
            <w:r w:rsidR="00910418"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48AC"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исчисления </w:t>
            </w:r>
            <w:r w:rsidR="008D0A77"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пенсий лицам, на которых распространяется действие Закона </w:t>
            </w: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  «О пенсионном обеспечении работников органов Прокуратуры, имеющих</w:t>
            </w:r>
            <w:proofErr w:type="gramEnd"/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классные чины, и их семей в Приднестровской Молдавской Республик</w:t>
            </w:r>
            <w:r w:rsidR="00910418"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D0A77"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, а также для исчисления ежемесячного пожизненного содержания судьям в соответствии с Конституционным законом Приднестровской Молдавской Республики «О статусе судей в Приднестровской Молдавской Республике»</w:t>
            </w: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 РУ МЗП в размере 7,8 рубля»;</w:t>
            </w:r>
          </w:p>
        </w:tc>
      </w:tr>
      <w:tr w:rsidR="009D1B29" w:rsidRPr="002B568E" w:rsidTr="009D1B29">
        <w:tc>
          <w:tcPr>
            <w:tcW w:w="4785" w:type="dxa"/>
          </w:tcPr>
          <w:p w:rsidR="002B568E" w:rsidRPr="002B568E" w:rsidRDefault="002B568E" w:rsidP="002B568E">
            <w:pPr>
              <w:ind w:firstLine="68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54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68E" w:rsidRPr="002B568E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что во изменение действующего законодательства Приднестровской Молдавской Республики, в 2019 году работникам организаций, оплата труда которых финансируется из республиканского и местных бюджетов, а также бюджета Единого фонда государственного социального страхования Приднестровской Молдавской Республики, уровень которой регулируется </w:t>
            </w: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Законом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</w:t>
            </w:r>
            <w:proofErr w:type="gramEnd"/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денежном </w:t>
            </w:r>
            <w:proofErr w:type="gramStart"/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содержании</w:t>
            </w:r>
            <w:proofErr w:type="gramEnd"/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государственных гражданских служащих»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доплата, равная:</w:t>
            </w:r>
          </w:p>
          <w:p w:rsidR="002B568E" w:rsidRPr="00290699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99">
              <w:rPr>
                <w:rFonts w:ascii="Times New Roman" w:hAnsi="Times New Roman" w:cs="Times New Roman"/>
                <w:sz w:val="24"/>
                <w:szCs w:val="24"/>
              </w:rPr>
              <w:t>а) 11,5% от должностного оклада – для работников, получающих должностной оклад;</w:t>
            </w:r>
          </w:p>
          <w:p w:rsidR="002B568E" w:rsidRPr="00290699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99">
              <w:rPr>
                <w:rFonts w:ascii="Times New Roman" w:hAnsi="Times New Roman" w:cs="Times New Roman"/>
                <w:sz w:val="24"/>
                <w:szCs w:val="24"/>
              </w:rPr>
              <w:t>б) 13% от должностного оклада – для военнослужащих и лиц, приравненных к ним по условиям выплат денежного довольствия;</w:t>
            </w:r>
          </w:p>
          <w:p w:rsidR="002B568E" w:rsidRPr="00290699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99">
              <w:rPr>
                <w:rFonts w:ascii="Times New Roman" w:hAnsi="Times New Roman" w:cs="Times New Roman"/>
                <w:sz w:val="24"/>
                <w:szCs w:val="24"/>
              </w:rPr>
              <w:t xml:space="preserve">в) 11,5% от должностного оклада – для государственных гражданских </w:t>
            </w:r>
            <w:r w:rsidRPr="0029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получающих денежное содержание;</w:t>
            </w:r>
          </w:p>
          <w:p w:rsidR="002B568E" w:rsidRPr="002B568E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г) 7% от величины минимального </w:t>
            </w:r>
            <w:proofErr w:type="gram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 – для работников, получающих доплаты до величины минимального размера оплаты труда.</w:t>
            </w:r>
          </w:p>
          <w:p w:rsidR="002B568E" w:rsidRPr="002B568E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Доплата, предусмотренная частью первой настоящей статьи, выплачивается исходя из размера должностного оклада, рассчитанного пропорционально установленной продолжительности рабочего времени как по основной должности, так и по занимаемой в порядках, предусмотренных Трудовым кодексом ПМР, в случае работы на таких условиях.</w:t>
            </w:r>
            <w:proofErr w:type="gramEnd"/>
          </w:p>
          <w:p w:rsidR="002B568E" w:rsidRPr="002B568E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пункта 5 и пункта 5-1 статьи 5 Закона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на доплаты, установленные частью первой настоящей статьи, не распространяется. </w:t>
            </w:r>
          </w:p>
          <w:p w:rsidR="002B568E" w:rsidRPr="002B568E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право организациям, оплата труда в которых финансируется из республиканского и местных бюджетов, уровень которой регулируется Законом Приднестровской Молдавской Республики 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служащих», применившим </w:t>
            </w: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с 1 июля 2018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 величину 1 РУ МЗП для начисления оплаты труда, исчисления материальной</w:t>
            </w:r>
            <w:proofErr w:type="gramEnd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помощи и иных выплат, уровень которых регулируется Законом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в размере 7,8 рубля, применять в 2019 году данную величину 1 РУ МЗП для начисления оплаты труда, исчисления 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материальной помощи и иных выплат, уровень которых</w:t>
            </w:r>
            <w:proofErr w:type="gramEnd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регулируется Законом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служащих». </w:t>
            </w:r>
          </w:p>
          <w:p w:rsidR="002B568E" w:rsidRPr="002B568E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Руководители соответствующих органов государственной власти и управления, органов местного самоуправления, организаций, учреждений, финансируемых за счет средств бюджетов различных уровней, попадающих под действие части первой настоящего пункта, принимают решение о выборе методов увеличения заработных плат – либо применение пункта 1 настоящей статьи, либо применение части первой настоящего пункта.</w:t>
            </w:r>
          </w:p>
          <w:p w:rsidR="001239EC" w:rsidRPr="002B568E" w:rsidRDefault="001239EC" w:rsidP="00CF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6D37" w:rsidRPr="002B568E" w:rsidRDefault="000C7A0F" w:rsidP="00CF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</w:t>
            </w:r>
            <w:r w:rsidR="004E2388" w:rsidRPr="0029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069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</w:t>
            </w:r>
          </w:p>
          <w:p w:rsidR="009D1B29" w:rsidRPr="002B568E" w:rsidRDefault="000C7A0F" w:rsidP="00CF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что во изменение действующего законодательства Приднестровской Молдавской Республики, в 2019 году работникам организаций, оплата труда которых финансируется из республиканского и местных бюджетов, а также бюджета Единого фонда государственного социального страхования Приднестровской Молдавской Республики, уровень которой регулируется </w:t>
            </w: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законодательством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</w:t>
            </w:r>
            <w:proofErr w:type="gramEnd"/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выплат денежного довольствия, денежном </w:t>
            </w:r>
            <w:proofErr w:type="gramStart"/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содержании</w:t>
            </w:r>
            <w:proofErr w:type="gramEnd"/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государственных гражданских служащих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, осуществляется доплата, равная:</w:t>
            </w:r>
          </w:p>
          <w:p w:rsidR="002B568E" w:rsidRPr="00290699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а) 11,5% от должностного оклада – для работников, получающих должностной оклад;</w:t>
            </w:r>
          </w:p>
          <w:p w:rsidR="002B568E" w:rsidRPr="00290699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99">
              <w:rPr>
                <w:rFonts w:ascii="Times New Roman" w:hAnsi="Times New Roman" w:cs="Times New Roman"/>
                <w:sz w:val="24"/>
                <w:szCs w:val="24"/>
              </w:rPr>
              <w:t>б) 13% от должностного оклада – для военнослужащих и лиц, приравненных к ним по условиям выплат денежного довольствия;</w:t>
            </w:r>
          </w:p>
          <w:p w:rsidR="002B568E" w:rsidRPr="00290699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99">
              <w:rPr>
                <w:rFonts w:ascii="Times New Roman" w:hAnsi="Times New Roman" w:cs="Times New Roman"/>
                <w:sz w:val="24"/>
                <w:szCs w:val="24"/>
              </w:rPr>
              <w:t xml:space="preserve">в) 11,5% от должностного оклада – </w:t>
            </w:r>
            <w:r w:rsidRPr="0029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государственных гражданских служащих, получающих денежное содержание;</w:t>
            </w:r>
          </w:p>
          <w:p w:rsidR="002B568E" w:rsidRPr="002B568E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г) 7% от величины минимального </w:t>
            </w:r>
            <w:proofErr w:type="gram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 – для работников, получающих доплаты до величины минимального размера оплаты труда.</w:t>
            </w:r>
          </w:p>
          <w:p w:rsidR="002B568E" w:rsidRPr="002B568E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Доплата, предусмотренная частью первой настоящей статьи, выплачивается исходя из размера должностного оклада, рассчитанного пропорционально установленной продолжительности рабочего времени как по основной должности, так и по занимаемой в порядках, предусмотренных Трудовым кодексом ПМР, в случае работы на таких условиях.</w:t>
            </w:r>
            <w:proofErr w:type="gramEnd"/>
          </w:p>
          <w:p w:rsidR="002B568E" w:rsidRPr="002B568E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пункта 5 и пункта 5-1 статьи 5 Закона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на доплаты, установленные частью первой настоящей статьи, не распространяется. </w:t>
            </w:r>
          </w:p>
          <w:p w:rsidR="002B568E" w:rsidRPr="002B568E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право организациям, оплата труда в которых финансируется из республиканского и местных бюджетов, уровень которой регулируется Законом Приднестровской Молдавской Республики 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служащих», применившим </w:t>
            </w: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во втором полугодии 2018 года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 величину 1 РУ МЗП для начисления оплаты труда, исчисления материальной</w:t>
            </w:r>
            <w:proofErr w:type="gramEnd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помощи и иных выплат, уровень которых регулируется Законом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в размере 7,8 рубля, применять в 2019 году данную величину 1 РУ МЗП для 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начисления оплаты труда, исчисления материальной помощи и иных выплат, уровень которых</w:t>
            </w:r>
            <w:proofErr w:type="gramEnd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регулируется Законом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служащих». </w:t>
            </w:r>
          </w:p>
          <w:p w:rsidR="002B568E" w:rsidRPr="002B568E" w:rsidRDefault="002B568E" w:rsidP="002B568E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Руководители соответствующих органов государственной власти и управления, органов местного самоуправления, организаций, учреждений, финансируемых за счет средств бюджетов различных уровней, попадающих под действие части первой настоящего пункта, принимают решение о выборе методов увеличения заработных плат – либо применение пункта 1 настоящей статьи, либо применение части первой настоящего пункта.</w:t>
            </w:r>
          </w:p>
          <w:p w:rsidR="001239EC" w:rsidRPr="002B568E" w:rsidRDefault="001239EC" w:rsidP="00CF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08" w:rsidRPr="002B568E" w:rsidTr="009D1B29">
        <w:tc>
          <w:tcPr>
            <w:tcW w:w="4785" w:type="dxa"/>
          </w:tcPr>
          <w:p w:rsidR="00660308" w:rsidRDefault="00660308" w:rsidP="00660308">
            <w:pPr>
              <w:ind w:firstLine="68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58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0CED" w:rsidRPr="002B568E" w:rsidRDefault="004F0CED" w:rsidP="00660308">
            <w:pPr>
              <w:ind w:firstLine="68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60308" w:rsidRPr="002B568E" w:rsidRDefault="00660308" w:rsidP="00660308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6. Руководителям соответствующих представительных органов государственной власти, органов местного самоуправления, органов судебной власти, не реализовавших </w:t>
            </w:r>
            <w:proofErr w:type="spell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пилотный</w:t>
            </w:r>
            <w:proofErr w:type="spellEnd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 проект, разрешить использование экономии планового фонда оплаты труда на 2019 год по статье «Оплата труда» (код 110100), за исключением сумм по статье «Материальная помощь» (код 110170):</w:t>
            </w:r>
          </w:p>
          <w:p w:rsidR="00660308" w:rsidRPr="002B568E" w:rsidRDefault="00660308" w:rsidP="00660308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а) на цели, предусмотренные трудовым законодательством Приднестровской Молдавской Республики;</w:t>
            </w:r>
          </w:p>
          <w:p w:rsidR="00660308" w:rsidRPr="002B568E" w:rsidRDefault="00660308" w:rsidP="00660308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б) на дополнительное материальное стимулирование – исходя из сумм сложившейся экономии от утвержденного планового фонда оплаты труда 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br/>
              <w:t>на 2019 год.</w:t>
            </w:r>
          </w:p>
          <w:p w:rsidR="00660308" w:rsidRPr="002B568E" w:rsidRDefault="00660308" w:rsidP="00660308">
            <w:pPr>
              <w:ind w:firstLine="6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Типовое положение о порядке и условиях дополнительного материального стимулирования за счет экономии планового фонда оплаты труда на 2019 год, указанной в части первой настоящего пункта, утверждается Правительством Приднестровской Молдавской Республики.</w:t>
            </w:r>
          </w:p>
          <w:p w:rsidR="00660308" w:rsidRPr="002B568E" w:rsidRDefault="00660308" w:rsidP="00660308">
            <w:pPr>
              <w:ind w:firstLine="680"/>
              <w:jc w:val="both"/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660308" w:rsidRPr="002B568E" w:rsidRDefault="00660308" w:rsidP="00CF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0308" w:rsidRDefault="00660308" w:rsidP="00660308">
            <w:pPr>
              <w:ind w:firstLine="68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Статья 58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0CED" w:rsidRPr="002B568E" w:rsidRDefault="004F0CED" w:rsidP="00660308">
            <w:pPr>
              <w:ind w:firstLine="68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60308" w:rsidRPr="002B568E" w:rsidRDefault="00660308" w:rsidP="00660308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6. Руководителям соответствующих представительных органов государственной власти, органов местного самоуправления, </w:t>
            </w:r>
            <w:r w:rsidRPr="002B568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государственных органов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, органов судебной власти, не реализовавших </w:t>
            </w:r>
            <w:proofErr w:type="spellStart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пилотный</w:t>
            </w:r>
            <w:proofErr w:type="spellEnd"/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 проект, разрешить использование экономии планового фонда оплаты труда на 2019 год по статье «Оплата труда» (код 110100), за исключением сумм по статье «Материальная помощь» (код 110170):</w:t>
            </w:r>
          </w:p>
          <w:p w:rsidR="00660308" w:rsidRPr="002B568E" w:rsidRDefault="00660308" w:rsidP="00660308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а) на цели, предусмотренные трудовым законодательством Приднестровской Молдавской Республики;</w:t>
            </w:r>
          </w:p>
          <w:p w:rsidR="00660308" w:rsidRPr="002B568E" w:rsidRDefault="00660308" w:rsidP="00660308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 xml:space="preserve">б) на дополнительное материальное стимулирование – исходя из сумм сложившейся экономии от утвержденного планового фонда оплаты труда </w:t>
            </w:r>
            <w:r w:rsidRPr="002B568E">
              <w:rPr>
                <w:rFonts w:ascii="Times New Roman" w:hAnsi="Times New Roman" w:cs="Times New Roman"/>
                <w:sz w:val="24"/>
                <w:szCs w:val="24"/>
              </w:rPr>
              <w:br/>
              <w:t>на 2019 год.</w:t>
            </w:r>
          </w:p>
          <w:p w:rsidR="00660308" w:rsidRPr="002B568E" w:rsidRDefault="00660308" w:rsidP="00660308">
            <w:pPr>
              <w:ind w:firstLine="6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68E">
              <w:rPr>
                <w:rFonts w:ascii="Times New Roman" w:hAnsi="Times New Roman" w:cs="Times New Roman"/>
                <w:sz w:val="24"/>
                <w:szCs w:val="24"/>
              </w:rPr>
              <w:t>Типовое положение о порядке и условиях дополнительного материального стимулирования за счет экономии планового фонда оплаты труда на 2019 год, указанной в части первой настоящего пункта, утверждается Правительством Приднестровской Молдавской Республики.</w:t>
            </w:r>
          </w:p>
          <w:p w:rsidR="00660308" w:rsidRPr="002B568E" w:rsidRDefault="00660308" w:rsidP="00CF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B29" w:rsidRPr="002B568E" w:rsidRDefault="009D1B29" w:rsidP="0064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1B29" w:rsidRPr="002B568E" w:rsidSect="00063332">
      <w:headerReference w:type="default" r:id="rId6"/>
      <w:pgSz w:w="11906" w:h="16838"/>
      <w:pgMar w:top="426" w:right="850" w:bottom="1134" w:left="1701" w:header="708" w:footer="708" w:gutter="0"/>
      <w:pgNumType w:fmt="numberInDash" w:star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332" w:rsidRDefault="00063332" w:rsidP="00063332">
      <w:pPr>
        <w:spacing w:after="0" w:line="240" w:lineRule="auto"/>
      </w:pPr>
      <w:r>
        <w:separator/>
      </w:r>
    </w:p>
  </w:endnote>
  <w:endnote w:type="continuationSeparator" w:id="0">
    <w:p w:rsidR="00063332" w:rsidRDefault="00063332" w:rsidP="0006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332" w:rsidRDefault="00063332" w:rsidP="00063332">
      <w:pPr>
        <w:spacing w:after="0" w:line="240" w:lineRule="auto"/>
      </w:pPr>
      <w:r>
        <w:separator/>
      </w:r>
    </w:p>
  </w:footnote>
  <w:footnote w:type="continuationSeparator" w:id="0">
    <w:p w:rsidR="00063332" w:rsidRDefault="00063332" w:rsidP="0006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44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3332" w:rsidRPr="00063332" w:rsidRDefault="00D2112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33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63332" w:rsidRPr="000633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33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29D4">
          <w:rPr>
            <w:rFonts w:ascii="Times New Roman" w:hAnsi="Times New Roman" w:cs="Times New Roman"/>
            <w:noProof/>
            <w:sz w:val="24"/>
            <w:szCs w:val="24"/>
          </w:rPr>
          <w:t>- 10 -</w:t>
        </w:r>
        <w:r w:rsidRPr="000633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3332" w:rsidRDefault="000633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1B29"/>
    <w:rsid w:val="000305D4"/>
    <w:rsid w:val="00063332"/>
    <w:rsid w:val="000C7A0F"/>
    <w:rsid w:val="001239EC"/>
    <w:rsid w:val="00290699"/>
    <w:rsid w:val="002B568E"/>
    <w:rsid w:val="003B71A8"/>
    <w:rsid w:val="00426894"/>
    <w:rsid w:val="00433FC5"/>
    <w:rsid w:val="004E2388"/>
    <w:rsid w:val="004F0CED"/>
    <w:rsid w:val="00512182"/>
    <w:rsid w:val="006403A6"/>
    <w:rsid w:val="00660308"/>
    <w:rsid w:val="00832704"/>
    <w:rsid w:val="008D0A77"/>
    <w:rsid w:val="00910418"/>
    <w:rsid w:val="009D1B29"/>
    <w:rsid w:val="00A229D4"/>
    <w:rsid w:val="00A348AC"/>
    <w:rsid w:val="00B4733D"/>
    <w:rsid w:val="00BA5706"/>
    <w:rsid w:val="00C353FF"/>
    <w:rsid w:val="00CF6D37"/>
    <w:rsid w:val="00D2112E"/>
    <w:rsid w:val="00ED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9EC"/>
    <w:pPr>
      <w:ind w:left="720"/>
      <w:contextualSpacing/>
    </w:pPr>
  </w:style>
  <w:style w:type="character" w:styleId="a5">
    <w:name w:val="Strong"/>
    <w:basedOn w:val="a0"/>
    <w:uiPriority w:val="99"/>
    <w:qFormat/>
    <w:rsid w:val="00660308"/>
    <w:rPr>
      <w:rFonts w:cs="Times New Roman"/>
      <w:b/>
    </w:rPr>
  </w:style>
  <w:style w:type="paragraph" w:styleId="a6">
    <w:name w:val="header"/>
    <w:basedOn w:val="a"/>
    <w:link w:val="a7"/>
    <w:uiPriority w:val="99"/>
    <w:unhideWhenUsed/>
    <w:rsid w:val="0006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332"/>
  </w:style>
  <w:style w:type="paragraph" w:styleId="a8">
    <w:name w:val="footer"/>
    <w:basedOn w:val="a"/>
    <w:link w:val="a9"/>
    <w:uiPriority w:val="99"/>
    <w:semiHidden/>
    <w:unhideWhenUsed/>
    <w:rsid w:val="0006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3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g14rga</dc:creator>
  <cp:keywords/>
  <dc:description/>
  <cp:lastModifiedBy>g106kaa</cp:lastModifiedBy>
  <cp:revision>12</cp:revision>
  <dcterms:created xsi:type="dcterms:W3CDTF">2019-01-18T13:00:00Z</dcterms:created>
  <dcterms:modified xsi:type="dcterms:W3CDTF">2019-01-18T15:21:00Z</dcterms:modified>
</cp:coreProperties>
</file>